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Cs/>
          <w:color w:val="auto"/>
          <w:sz w:val="24"/>
          <w:szCs w:val="24"/>
          <w:highlight w:val="none"/>
        </w:rPr>
      </w:pPr>
      <w:r/>
      <w:bookmarkStart w:id="7" w:name="_GoBack"/>
      <w:r>
        <w:rPr>
          <w:color w:val="auto"/>
          <w:sz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center"/>
        <w:spacing w:line="360" w:lineRule="auto"/>
        <w:rPr>
          <w:rFonts w:ascii="宋体" w:hAnsi="宋体" w:eastAsia="宋体" w:cs="宋体"/>
          <w:bCs/>
          <w:color w:val="auto"/>
          <w:sz w:val="84"/>
          <w:szCs w:val="84"/>
          <w:highlight w:val="none"/>
        </w:rPr>
      </w:pPr>
      <w:r>
        <w:rPr>
          <w:rFonts w:hint="eastAsia" w:ascii="宋体" w:hAnsi="宋体" w:eastAsia="宋体" w:cs="宋体"/>
          <w:bCs/>
          <w:color w:val="auto"/>
          <w:sz w:val="84"/>
          <w:szCs w:val="84"/>
          <w:highlight w:val="none"/>
        </w:rPr>
        <w:t xml:space="preserve">苏州市政府采购</w:t>
      </w:r>
      <w:r/>
    </w:p>
    <w:p>
      <w:pPr>
        <w:jc w:val="center"/>
        <w:spacing w:line="360" w:lineRule="auto"/>
        <w:rPr>
          <w:rFonts w:ascii="宋体" w:hAnsi="宋体" w:eastAsia="宋体" w:cs="宋体"/>
          <w:bCs/>
          <w:color w:val="auto"/>
          <w:sz w:val="32"/>
          <w:szCs w:val="32"/>
          <w:highlight w:val="none"/>
        </w:rPr>
      </w:pPr>
      <w:r>
        <w:rPr>
          <w:rFonts w:hint="eastAsia" w:ascii="宋体" w:hAnsi="宋体" w:eastAsia="宋体" w:cs="宋体"/>
          <w:bCs/>
          <w:color w:val="auto"/>
          <w:sz w:val="84"/>
          <w:szCs w:val="84"/>
          <w:highlight w:val="none"/>
        </w:rPr>
        <w:t xml:space="preserve">竞争性磋商文件</w:t>
      </w:r>
      <w:r/>
    </w:p>
    <w:p>
      <w:pPr>
        <w:jc w:val="center"/>
        <w:spacing w:line="360" w:lineRule="auto"/>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mc:AlternateContent>
          <mc:Choice Requires="wpg">
            <w:drawing>
              <wp:inline xmlns:wp="http://schemas.openxmlformats.org/drawingml/2006/wordprocessingDrawing" distT="0" distB="0" distL="0" distR="0">
                <wp:extent cx="1364615" cy="1370965"/>
                <wp:effectExtent l="0" t="0" r="6985" b="635"/>
                <wp:docPr id="3" name="图片 1" descr="苏州正杰招投标咨询服务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苏州正杰招投标咨询服务有限公司"/>
                        <pic:cNvPicPr>
                          <a:picLocks noChangeAspect="1"/>
                        </pic:cNvPicPr>
                        <pic:nvPr/>
                      </pic:nvPicPr>
                      <pic:blipFill>
                        <a:blip r:embed="rId15"/>
                        <a:stretch/>
                      </pic:blipFill>
                      <pic:spPr bwMode="auto">
                        <a:xfrm>
                          <a:off x="0" y="0"/>
                          <a:ext cx="1364615" cy="1370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7.4pt;height:107.9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jc w:val="left"/>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 购 人：苏州市自然资源和规划局</w:t>
      </w:r>
      <w:r/>
    </w:p>
    <w:p>
      <w:pPr>
        <w:jc w:val="left"/>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项目编号：</w:t>
      </w:r>
      <w:r>
        <w:rPr>
          <w:rFonts w:hint="eastAsia" w:ascii="宋体" w:hAnsi="宋体" w:eastAsia="宋体" w:cs="宋体"/>
          <w:bCs/>
          <w:color w:val="auto"/>
          <w:sz w:val="30"/>
          <w:szCs w:val="30"/>
          <w:highlight w:val="none"/>
          <w:lang w:eastAsia="zh-CN"/>
        </w:rPr>
        <w:t xml:space="preserve">JSZC-320500-SZZJ-C2025-0061</w:t>
      </w:r>
      <w:r/>
    </w:p>
    <w:p>
      <w:pPr>
        <w:jc w:val="center"/>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项目名称：2025年永久基本农田调整补划方案地块外业现场踏勘和内业数据分析</w:t>
      </w:r>
      <w:r/>
    </w:p>
    <w:p>
      <w:pPr>
        <w:jc w:val="left"/>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采购类别：服务类</w:t>
      </w:r>
      <w:r/>
    </w:p>
    <w:p>
      <w:pPr>
        <w:jc w:val="center"/>
        <w:spacing w:line="360" w:lineRule="auto"/>
        <w:rPr>
          <w:rFonts w:ascii="宋体" w:hAnsi="宋体" w:eastAsia="宋体" w:cs="宋体"/>
          <w:bCs/>
          <w:color w:val="auto"/>
          <w:sz w:val="30"/>
          <w:szCs w:val="30"/>
          <w:highlight w:val="none"/>
        </w:rPr>
      </w:pPr>
      <w:r>
        <w:rPr>
          <w:rFonts w:ascii="宋体" w:hAnsi="宋体" w:eastAsia="宋体" w:cs="宋体"/>
          <w:bCs/>
          <w:color w:val="auto"/>
          <w:sz w:val="30"/>
          <w:szCs w:val="30"/>
          <w:highlight w:val="none"/>
        </w:rPr>
      </w:r>
      <w:r/>
    </w:p>
    <w:p>
      <w:pPr>
        <w:jc w:val="center"/>
        <w:spacing w:line="360" w:lineRule="auto"/>
        <w:rPr>
          <w:rFonts w:ascii="宋体" w:hAnsi="宋体" w:eastAsia="宋体" w:cs="宋体"/>
          <w:bCs/>
          <w:color w:val="auto"/>
          <w:sz w:val="30"/>
          <w:szCs w:val="30"/>
          <w:highlight w:val="none"/>
        </w:rPr>
      </w:pPr>
      <w:r>
        <w:rPr>
          <w:rFonts w:ascii="宋体" w:hAnsi="宋体" w:eastAsia="宋体" w:cs="宋体"/>
          <w:bCs/>
          <w:color w:val="auto"/>
          <w:sz w:val="30"/>
          <w:szCs w:val="30"/>
          <w:highlight w:val="none"/>
        </w:rPr>
      </w:r>
      <w:r/>
    </w:p>
    <w:p>
      <w:pPr>
        <w:jc w:val="center"/>
        <w:spacing w:line="360" w:lineRule="auto"/>
        <w:rPr>
          <w:rFonts w:ascii="宋体" w:hAnsi="宋体" w:eastAsia="宋体" w:cs="宋体"/>
          <w:bCs/>
          <w:color w:val="auto"/>
          <w:sz w:val="30"/>
          <w:szCs w:val="30"/>
          <w:highlight w:val="none"/>
        </w:rPr>
      </w:pPr>
      <w:r>
        <w:rPr>
          <w:rFonts w:ascii="宋体" w:hAnsi="宋体" w:eastAsia="宋体" w:cs="宋体"/>
          <w:bCs/>
          <w:color w:val="auto"/>
          <w:sz w:val="30"/>
          <w:szCs w:val="30"/>
          <w:highlight w:val="none"/>
        </w:rPr>
      </w:r>
      <w:r/>
    </w:p>
    <w:p>
      <w:pPr>
        <w:jc w:val="center"/>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苏州正杰招投标咨询服务有限公司</w:t>
      </w:r>
      <w:r/>
    </w:p>
    <w:p>
      <w:pPr>
        <w:pStyle w:val="911"/>
        <w:ind w:firstLine="0"/>
        <w:jc w:val="center"/>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2025年</w:t>
      </w:r>
      <w:r>
        <w:rPr>
          <w:rFonts w:hint="eastAsia" w:ascii="宋体" w:hAnsi="宋体" w:eastAsia="宋体" w:cs="宋体"/>
          <w:bCs/>
          <w:color w:val="auto"/>
          <w:sz w:val="30"/>
          <w:szCs w:val="30"/>
          <w:highlight w:val="none"/>
          <w:lang w:val="en-US" w:eastAsia="zh-CN"/>
        </w:rPr>
        <w:t xml:space="preserve">12</w:t>
      </w:r>
      <w:r>
        <w:rPr>
          <w:rFonts w:hint="eastAsia" w:ascii="宋体" w:hAnsi="宋体" w:eastAsia="宋体" w:cs="宋体"/>
          <w:bCs/>
          <w:color w:val="auto"/>
          <w:sz w:val="30"/>
          <w:szCs w:val="30"/>
          <w:highlight w:val="none"/>
        </w:rPr>
        <w:t xml:space="preserve">月</w:t>
      </w:r>
      <w:r/>
    </w:p>
    <w:p>
      <w:pPr>
        <w:pStyle w:val="911"/>
        <w:ind w:firstLine="0"/>
        <w:jc w:val="center"/>
        <w:spacing w:line="360" w:lineRule="auto"/>
        <w:rPr>
          <w:rFonts w:ascii="宋体" w:hAnsi="宋体" w:eastAsia="宋体" w:cs="宋体"/>
          <w:b/>
          <w:color w:val="auto"/>
          <w:sz w:val="32"/>
          <w:szCs w:val="32"/>
          <w:highlight w:val="none"/>
        </w:rPr>
        <w:sectPr>
          <w:headerReference w:type="default" r:id="rId9"/>
          <w:footerReference w:type="default" r:id="rId10"/>
          <w:footnotePr/>
          <w:endnotePr/>
          <w:type w:val="nextPage"/>
          <w:pgSz w:w="11906" w:h="16838" w:orient="portrait"/>
          <w:pgMar w:top="1134" w:right="1134" w:bottom="1134" w:left="1134" w:header="851" w:footer="567" w:gutter="0"/>
          <w:pgNumType w:start="0"/>
          <w:cols w:num="1" w:sep="0" w:space="720" w:equalWidth="1"/>
          <w:docGrid w:linePitch="360"/>
          <w:titlePg/>
        </w:sectPr>
      </w:pPr>
      <w:r>
        <w:rPr>
          <w:rFonts w:ascii="宋体" w:hAnsi="宋体" w:eastAsia="宋体" w:cs="宋体"/>
          <w:b/>
          <w:color w:val="auto"/>
          <w:sz w:val="32"/>
          <w:szCs w:val="32"/>
          <w:highlight w:val="none"/>
        </w:rPr>
      </w:r>
      <w:r/>
    </w:p>
    <w:p>
      <w:pPr>
        <w:pStyle w:val="911"/>
        <w:ind w:firstLine="0"/>
        <w:jc w:val="center"/>
        <w:spacing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目  录</w:t>
      </w:r>
      <w:r/>
    </w:p>
    <w:p>
      <w:pPr>
        <w:pStyle w:val="911"/>
        <w:ind w:firstLine="0"/>
        <w:jc w:val="center"/>
        <w:spacing w:line="360" w:lineRule="auto"/>
        <w:rPr>
          <w:rFonts w:ascii="宋体" w:hAnsi="宋体" w:eastAsia="宋体" w:cs="宋体"/>
          <w:bCs/>
          <w:color w:val="auto"/>
          <w:sz w:val="32"/>
          <w:szCs w:val="32"/>
          <w:highlight w:val="none"/>
        </w:rPr>
      </w:pPr>
      <w:r>
        <w:rPr>
          <w:rFonts w:ascii="宋体" w:hAnsi="宋体" w:eastAsia="宋体" w:cs="宋体"/>
          <w:bCs/>
          <w:color w:val="auto"/>
          <w:sz w:val="32"/>
          <w:szCs w:val="32"/>
          <w:highlight w:val="none"/>
        </w:rPr>
      </w:r>
      <w:r/>
    </w:p>
    <w:p>
      <w:pPr>
        <w:pStyle w:val="938"/>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TOC \o "1-1"</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bCs/>
          <w:color w:val="auto"/>
          <w:sz w:val="32"/>
          <w:szCs w:val="32"/>
          <w:highlight w:val="none"/>
        </w:rPr>
        <w:t xml:space="preserve">第一章 竞争性磋商邀请函</w:t>
      </w:r>
      <w:r>
        <w:rPr>
          <w:rFonts w:hint="eastAsia" w:ascii="宋体" w:hAnsi="宋体" w:eastAsia="宋体" w:cs="宋体"/>
          <w:bCs/>
          <w:color w:val="auto"/>
          <w:sz w:val="32"/>
          <w:szCs w:val="32"/>
          <w:highlight w:val="none"/>
        </w:rPr>
        <w:tab/>
      </w:r>
      <w:r/>
    </w:p>
    <w:p>
      <w:pPr>
        <w:pStyle w:val="938"/>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第二章 响应须知</w:t>
      </w:r>
      <w:r>
        <w:rPr>
          <w:rFonts w:hint="eastAsia" w:ascii="宋体" w:hAnsi="宋体" w:eastAsia="宋体" w:cs="宋体"/>
          <w:bCs/>
          <w:color w:val="auto"/>
          <w:sz w:val="32"/>
          <w:szCs w:val="32"/>
          <w:highlight w:val="none"/>
        </w:rPr>
        <w:tab/>
      </w:r>
      <w:r/>
    </w:p>
    <w:p>
      <w:pPr>
        <w:pStyle w:val="938"/>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第三章 响应文件格式</w:t>
      </w:r>
      <w:r>
        <w:rPr>
          <w:rFonts w:hint="eastAsia" w:ascii="宋体" w:hAnsi="宋体" w:eastAsia="宋体" w:cs="宋体"/>
          <w:bCs/>
          <w:color w:val="auto"/>
          <w:sz w:val="32"/>
          <w:szCs w:val="32"/>
          <w:highlight w:val="none"/>
        </w:rPr>
        <w:tab/>
      </w:r>
      <w:r/>
    </w:p>
    <w:p>
      <w:pPr>
        <w:pStyle w:val="938"/>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第四章 采购需求</w:t>
      </w:r>
      <w:r>
        <w:rPr>
          <w:rFonts w:hint="eastAsia" w:ascii="宋体" w:hAnsi="宋体" w:eastAsia="宋体" w:cs="宋体"/>
          <w:bCs/>
          <w:color w:val="auto"/>
          <w:sz w:val="32"/>
          <w:szCs w:val="32"/>
          <w:highlight w:val="none"/>
        </w:rPr>
        <w:tab/>
      </w:r>
      <w:r/>
    </w:p>
    <w:p>
      <w:pPr>
        <w:pStyle w:val="938"/>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第五章 合同文本</w:t>
      </w:r>
      <w:r>
        <w:rPr>
          <w:rFonts w:hint="eastAsia" w:ascii="宋体" w:hAnsi="宋体" w:eastAsia="宋体" w:cs="宋体"/>
          <w:bCs/>
          <w:color w:val="auto"/>
          <w:sz w:val="32"/>
          <w:szCs w:val="32"/>
          <w:highlight w:val="none"/>
        </w:rPr>
        <w:tab/>
      </w:r>
      <w:r/>
    </w:p>
    <w:p>
      <w:pPr>
        <w:pStyle w:val="938"/>
        <w:ind w:firstLine="0"/>
        <w:jc w:val="center"/>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第六章 评审方法及评审标准</w:t>
      </w:r>
      <w:r>
        <w:rPr>
          <w:rFonts w:hint="eastAsia" w:ascii="宋体" w:hAnsi="宋体" w:eastAsia="宋体" w:cs="宋体"/>
          <w:bCs/>
          <w:color w:val="auto"/>
          <w:sz w:val="32"/>
          <w:szCs w:val="32"/>
          <w:highlight w:val="none"/>
        </w:rPr>
        <w:tab/>
      </w:r>
      <w:r/>
    </w:p>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32"/>
          <w:szCs w:val="32"/>
          <w:highlight w:val="none"/>
        </w:rPr>
        <w:fldChar w:fldCharType="end"/>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pStyle w:val="896"/>
        <w:ind w:firstLine="1040"/>
        <w:jc w:val="center"/>
        <w:spacing w:line="360" w:lineRule="auto"/>
        <w:rPr>
          <w:rFonts w:ascii="宋体" w:hAnsi="宋体" w:eastAsia="宋体" w:cs="宋体"/>
          <w:b w:val="0"/>
          <w:bCs/>
          <w:color w:val="auto"/>
          <w:sz w:val="52"/>
          <w:szCs w:val="52"/>
          <w:highlight w:val="none"/>
        </w:rPr>
        <w:sectPr>
          <w:footerReference w:type="default" r:id="rId11"/>
          <w:footerReference w:type="first" r:id="rId12"/>
          <w:footnotePr/>
          <w:endnotePr/>
          <w:type w:val="nextPage"/>
          <w:pgSz w:w="11906" w:h="16838" w:orient="portrait"/>
          <w:pgMar w:top="1134" w:right="1134" w:bottom="1134" w:left="1134" w:header="851" w:footer="567" w:gutter="0"/>
          <w:pgNumType w:start="1"/>
          <w:cols w:num="1" w:sep="0" w:space="720" w:equalWidth="1"/>
          <w:docGrid w:linePitch="360"/>
        </w:sectPr>
      </w:pPr>
      <w:r/>
      <w:bookmarkStart w:id="0" w:name="_第一章_谈判邀请函"/>
      <w:r/>
      <w:bookmarkEnd w:id="0"/>
      <w:r/>
      <w:bookmarkStart w:id="1" w:name="_Toc301856546"/>
      <w:r/>
      <w:bookmarkEnd w:id="1"/>
      <w:r/>
      <w:r/>
    </w:p>
    <w:p>
      <w:pPr>
        <w:ind w:firstLine="480"/>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第一章 竞争性磋商邀请函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受苏州市自然资源和规划局的委托，就其所需的2025年永久基本农田调整补划方案地块外业现场踏勘和内业数据分析项目以竞争性磋商方式组织政府采购，欢迎符合条件的供应商参加。</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JSZC-320500-SZZJ-C2025-0061</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项目名称：2025年永久基本农田调整补划方案地块外业现场踏勘和内业数据分析。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预算金额：人民币伍拾万元整（小写：500000.00元），本项目共划分为二个标段，即第一标段：贰拾伍万元（小写：250000.00元）；第二标段：贰拾伍万元（小写：250000.00元）。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成交单位数量：每标段成交单位数量：1家。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1、标的的名称：2025年永久基本农田调整补划方案地块外业现场踏勘和内业数据分析。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2、标段：本项目共划分为二个标段。每标段成交单位数量：1家。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标段一：(张家港市、常熟市、相城区、高新区、姑苏区)。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标段二：(太仓市、昆山市、吴江区、吴中区、工业园区)。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分2个标段采购，允许一个响应单位报名多个标段，但一个响应单位最多只能就其中一个标段成交，已确定为前标段成交单位的响应单位自动失去后续标段的成交资格，不进入后续标段评审过程。进入每个标段评审的实质性响应且具有得标权的供应商不得少于三家，如不足三家，认定该标段采购失败。标段开标顺序按标段号顺序确定，评审时将按标段自然顺序进行评审，按先开先中的原则，确定各标段的成交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本项目的标段开标顺序为标段一、标段二（依次进行）。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bCs/>
          <w:color w:val="auto"/>
          <w:sz w:val="24"/>
          <w:highlight w:val="none"/>
        </w:rPr>
        <w:t xml:space="preserve">合同签订之日起1年。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4、本项目不接受联合体投标。</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bCs/>
          <w:color w:val="auto"/>
          <w:sz w:val="24"/>
          <w:szCs w:val="24"/>
          <w:highlight w:val="none"/>
        </w:rPr>
        <w:t xml:space="preserve">根据《政府采购促进中小企业发展管理办法》的相关规定，本项目专门面向中小企业，所属</w:t>
      </w:r>
      <w:r>
        <w:rPr>
          <w:rFonts w:hint="eastAsia" w:ascii="宋体" w:hAnsi="宋体" w:eastAsia="宋体" w:cs="宋体"/>
          <w:b/>
          <w:color w:val="auto"/>
          <w:sz w:val="24"/>
          <w:szCs w:val="24"/>
          <w:highlight w:val="none"/>
        </w:rPr>
        <w:t xml:space="preserve">其他未列明行业</w:t>
      </w:r>
      <w:r>
        <w:rPr>
          <w:rFonts w:hint="eastAsia" w:ascii="宋体" w:hAnsi="宋体" w:eastAsia="宋体" w:cs="宋体"/>
          <w:b/>
          <w:bCs/>
          <w:color w:val="auto"/>
          <w:sz w:val="24"/>
          <w:szCs w:val="24"/>
          <w:highlight w:val="none"/>
        </w:rPr>
        <w:t xml:space="preserve">，供应商应为中小微企业、监狱企业、残疾人福利性单位。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无。</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三、获取采购文件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时间：自磋商文件公告发布之日起5个工作日</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地点：“苏采云”系统自行下载采购文件。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（1）CA办理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auto"/>
          <w:sz w:val="24"/>
          <w:szCs w:val="24"/>
          <w:highlight w:val="none"/>
          <w:lang w:val="en-US" w:eastAsia="zh-CN"/>
        </w:rPr>
        <w:t xml:space="preserve">苏州市高新区邓尉路105号苏州交易集团</w:t>
      </w:r>
      <w:r>
        <w:rPr>
          <w:rFonts w:hint="eastAsia" w:ascii="宋体" w:hAnsi="宋体" w:eastAsia="宋体" w:cs="宋体"/>
          <w:color w:val="auto"/>
          <w:sz w:val="24"/>
          <w:szCs w:val="24"/>
          <w:highlight w:val="none"/>
        </w:rPr>
        <w:t xml:space="preserve">，咨询电话：0512-69820834。</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（2）依法获取采购文件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考虑到熟悉“苏采云”系统、办理CA证书都需要一定的时间，请提早准备以免耽误招标采购活动。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未依照采购公告要求获取采购文件的供应商，视为未参加该项政府采购活动，不具备对该政府采购项目提出质疑的法定权利。</w:t>
      </w:r>
      <w:r/>
    </w:p>
    <w:p>
      <w:pPr>
        <w:ind w:firstLine="480"/>
        <w:spacing w:line="360" w:lineRule="auto"/>
        <w:rPr>
          <w:rFonts w:ascii="宋体" w:hAnsi="宋体" w:eastAsia="宋体"/>
          <w:color w:val="auto"/>
          <w:szCs w:val="21"/>
          <w:highlight w:val="none"/>
        </w:rPr>
      </w:pPr>
      <w:r>
        <w:rPr>
          <w:rFonts w:hint="eastAsia" w:ascii="宋体" w:hAnsi="宋体" w:eastAsia="宋体" w:cs="宋体"/>
          <w:color w:val="auto"/>
          <w:sz w:val="24"/>
          <w:szCs w:val="24"/>
          <w:highlight w:val="none"/>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（3）技术咨询服务电话：</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苏州市及区县“苏采云”系统使用指导与咨询：联系电话：0512-69820854、18261002950；QQ：3048755361、1315179389、895706745；智能客服：登录苏采云系统后，联系系统右下方智能客服图标进行咨询。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售价：本项目免费下载电子采购文件。</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四、响应文件提交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1、截止时间：</w:t>
      </w:r>
      <w:r>
        <w:rPr>
          <w:rFonts w:hint="eastAsia" w:ascii="宋体" w:hAnsi="宋体" w:eastAsia="宋体" w:cs="宋体"/>
          <w:b/>
          <w:color w:val="auto"/>
          <w:sz w:val="24"/>
          <w:szCs w:val="24"/>
          <w:highlight w:val="none"/>
        </w:rPr>
        <w:t xml:space="preserve">2025年12月16日13点30 分（北京时间）。</w:t>
      </w:r>
      <w:r/>
    </w:p>
    <w:p>
      <w:pPr>
        <w:pStyle w:val="91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65"/>
          <w:rFonts w:hint="eastAsia" w:ascii="宋体" w:hAnsi="宋体" w:eastAsia="宋体" w:cs="宋体"/>
          <w:color w:val="auto"/>
          <w:szCs w:val="24"/>
          <w:highlight w:val="none"/>
        </w:rPr>
        <w:t xml:space="preserve">http：//jszfcg.jsczt.cn/）。</w:t>
      </w:r>
      <w:r>
        <w:rPr>
          <w:rStyle w:val="965"/>
          <w:rFonts w:hint="eastAsia" w:ascii="宋体" w:hAnsi="宋体" w:eastAsia="宋体" w:cs="宋体"/>
          <w:color w:val="auto"/>
          <w:szCs w:val="24"/>
          <w:highlight w:val="none"/>
        </w:rPr>
        <w:fldChar w:fldCharType="end"/>
      </w:r>
      <w:r/>
    </w:p>
    <w:p>
      <w:pPr>
        <w:pStyle w:val="911"/>
        <w:ind w:firstLine="48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t xml:space="preserve">3</w:t>
      </w:r>
      <w:r>
        <w:rPr>
          <w:rFonts w:hint="eastAsia" w:ascii="宋体" w:hAnsi="宋体" w:eastAsia="宋体" w:cs="宋体"/>
          <w:color w:val="auto"/>
          <w:szCs w:val="24"/>
          <w:highlight w:val="none"/>
        </w:rPr>
        <w:t xml:space="preserve">、方式：响应文件网上递交，不需要现场参加采购活动。</w:t>
      </w:r>
      <w:r/>
    </w:p>
    <w:p>
      <w:pPr>
        <w:pStyle w:val="911"/>
        <w:ind w:firstLine="482"/>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五、开启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b/>
          <w:color w:val="auto"/>
          <w:sz w:val="24"/>
          <w:szCs w:val="24"/>
          <w:highlight w:val="none"/>
        </w:rPr>
        <w:t xml:space="preserve">2025年12月16日13点30分（北京时间）。</w:t>
      </w:r>
      <w:r/>
    </w:p>
    <w:p>
      <w:pPr>
        <w:pStyle w:val="91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2、地点：“苏采云”系统（网址：http：//jszfcg.jsczt.cn/）</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3、线上参加开标（开启）会方式：供应商登录</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苏采云</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系统，点击</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开标大厅</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，选择对应项目，点击进入不见面开标系统。</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本项目为不见面开标（开启）项目，</w:t>
      </w:r>
      <w:r>
        <w:rPr>
          <w:rFonts w:hint="eastAsia" w:ascii="宋体" w:hAnsi="宋体" w:eastAsia="宋体" w:cs="宋体"/>
          <w:b/>
          <w:bCs/>
          <w:color w:val="auto"/>
          <w:sz w:val="24"/>
          <w:szCs w:val="24"/>
          <w:highlight w:val="none"/>
        </w:rPr>
        <w:t xml:space="preserve">开启阶段供应商在【解密环节】必须使用</w:t>
      </w:r>
      <w:r>
        <w:rPr>
          <w:rFonts w:ascii="宋体" w:hAnsi="宋体" w:eastAsia="宋体" w:cs="宋体"/>
          <w:b/>
          <w:bCs/>
          <w:color w:val="auto"/>
          <w:sz w:val="24"/>
          <w:szCs w:val="24"/>
          <w:highlight w:val="none"/>
        </w:rPr>
        <w:t xml:space="preserve">CA</w:t>
      </w:r>
      <w:r>
        <w:rPr>
          <w:rFonts w:hint="eastAsia" w:ascii="宋体" w:hAnsi="宋体" w:eastAsia="宋体" w:cs="宋体"/>
          <w:b/>
          <w:bCs/>
          <w:color w:val="auto"/>
          <w:sz w:val="24"/>
          <w:szCs w:val="24"/>
          <w:highlight w:val="none"/>
        </w:rPr>
        <w:t xml:space="preserve">证书解密电子投标（响应）文件，如在</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苏采云</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系统规定的时间内未能成功解密的视为放弃参与本项目，投标无效。</w:t>
      </w:r>
      <w:r/>
    </w:p>
    <w:p>
      <w:pPr>
        <w:pStyle w:val="91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请供应商确保电脑、系统及其他设备（视频输入输出设备等）无误，且开启直至项目结束始终保持系统在线状态。</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六、公告期限</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自本公告发布之日起3个工作日。</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七、其他补充事宜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w:t>
      </w:r>
      <w:r>
        <w:rPr>
          <w:rFonts w:hint="eastAsia" w:ascii="宋体" w:hAnsi="宋体" w:eastAsia="宋体" w:cs="宋体"/>
          <w:color w:val="auto"/>
          <w:sz w:val="24"/>
          <w:highlight w:val="none"/>
        </w:rPr>
        <w:t xml:space="preserve">、《财政部关于进一步加大政府采购支持中小企业力度的通知》（财库〔2022〕19号）</w:t>
      </w:r>
      <w:r>
        <w:rPr>
          <w:rFonts w:hint="eastAsia" w:ascii="宋体" w:hAnsi="宋体" w:eastAsia="宋体" w:cs="宋体"/>
          <w:color w:val="auto"/>
          <w:sz w:val="24"/>
          <w:szCs w:val="24"/>
          <w:highlight w:val="none"/>
        </w:rPr>
        <w:t xml:space="preserve">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3、如不同供应商使用同一台电脑制作的电子响应文件的，双方“文件制作机器码”一致的，则其响应文件将被认定为无效响应。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5、政府采购监督电话：0512-68616651。</w:t>
      </w:r>
      <w:r/>
    </w:p>
    <w:p>
      <w:pPr>
        <w:ind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八、凡对本次采购提出询问，请按以下方式联系。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1、采购人信息：</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名称：苏州市自然资源和规划局。</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地址：苏州市姑苏区干将西路1018号。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联系方式：电话0512-</w:t>
      </w:r>
      <w:r>
        <w:rPr>
          <w:rFonts w:hint="eastAsia" w:ascii="宋体" w:hAnsi="宋体" w:eastAsia="宋体" w:cs="宋体"/>
          <w:color w:val="auto"/>
          <w:sz w:val="24"/>
          <w:highlight w:val="none"/>
        </w:rPr>
        <w:t xml:space="preserve">65307553</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项目联系人：</w:t>
      </w:r>
      <w:r>
        <w:rPr>
          <w:rFonts w:hint="eastAsia" w:ascii="宋体" w:hAnsi="宋体" w:eastAsia="宋体" w:cs="宋体"/>
          <w:color w:val="auto"/>
          <w:sz w:val="24"/>
          <w:highlight w:val="none"/>
        </w:rPr>
        <w:t xml:space="preserve">王延强</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2、采购代理机构信息：</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名称：苏州正杰招投标咨询服务有限公司。</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地址：苏州市平泷路251号苏州城市生活广场B座1557室。</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联系方式：电话0512-62826523。</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项目联系人：徐杰、沈鹰、陈晓梦。</w:t>
      </w:r>
      <w:r/>
    </w:p>
    <w:p>
      <w:pPr>
        <w:pStyle w:val="916"/>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6"/>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6"/>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第二章 响应须知</w:t>
      </w:r>
      <w:r/>
    </w:p>
    <w:p>
      <w:pPr>
        <w:pStyle w:val="916"/>
        <w:ind w:firstLine="482"/>
        <w:jc w:val="left"/>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1、总则</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b/>
          <w:bCs/>
          <w:color w:val="auto"/>
          <w:sz w:val="24"/>
          <w:szCs w:val="24"/>
          <w:highlight w:val="none"/>
        </w:rPr>
        <w:t xml:space="preserve">1.1</w:t>
      </w:r>
      <w:r>
        <w:rPr>
          <w:rFonts w:hint="eastAsia" w:ascii="宋体" w:hAnsi="宋体" w:eastAsia="宋体" w:cs="宋体"/>
          <w:b/>
          <w:bCs/>
          <w:color w:val="auto"/>
          <w:sz w:val="24"/>
          <w:szCs w:val="24"/>
          <w:highlight w:val="none"/>
        </w:rPr>
        <w:t xml:space="preserve">响应单位资格要求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1.1.1详见第一章</w:t>
      </w:r>
      <w:r>
        <w:rPr>
          <w:rFonts w:hint="eastAsia" w:ascii="宋体" w:hAnsi="宋体" w:eastAsia="宋体" w:cs="宋体"/>
          <w:bCs/>
          <w:color w:val="auto"/>
          <w:sz w:val="24"/>
          <w:szCs w:val="24"/>
          <w:highlight w:val="none"/>
        </w:rPr>
        <w:t xml:space="preserve">竞争性磋商邀请函</w:t>
      </w:r>
      <w:r>
        <w:rPr>
          <w:rFonts w:hint="eastAsia" w:ascii="宋体" w:hAnsi="宋体" w:eastAsia="宋体" w:cs="宋体"/>
          <w:color w:val="auto"/>
          <w:sz w:val="24"/>
          <w:szCs w:val="24"/>
          <w:highlight w:val="none"/>
        </w:rPr>
        <w:t xml:space="preserve">中“二、申请人的资格要求”。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1.1.2响应单位不得存在下列情形之一：</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w:t>
      </w:r>
      <w:r>
        <w:rPr>
          <w:rFonts w:ascii="宋体" w:hAnsi="宋体" w:eastAsia="宋体" w:cs="宋体"/>
          <w:color w:val="auto"/>
          <w:sz w:val="24"/>
          <w:szCs w:val="24"/>
          <w:highlight w:val="none"/>
        </w:rPr>
        <w:t xml:space="preserve">2017）11号）</w:t>
      </w:r>
      <w:r>
        <w:rPr>
          <w:rFonts w:hint="eastAsia" w:ascii="宋体" w:hAnsi="宋体" w:eastAsia="宋体" w:cs="宋体"/>
          <w:color w:val="auto"/>
          <w:sz w:val="24"/>
          <w:szCs w:val="24"/>
          <w:highlight w:val="none"/>
        </w:rPr>
        <w:t xml:space="preserve">和《</w:t>
      </w:r>
      <w:r>
        <w:rPr>
          <w:rFonts w:ascii="宋体" w:hAnsi="宋体" w:eastAsia="宋体" w:cs="宋体"/>
          <w:color w:val="auto"/>
          <w:sz w:val="24"/>
          <w:szCs w:val="24"/>
          <w:highlight w:val="none"/>
        </w:rPr>
        <w:t xml:space="preserve">关于在政府采购活动中甄别较大数额罚款有关事项的通知</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（苏财购〔2021〕32号）</w:t>
      </w:r>
      <w:r>
        <w:rPr>
          <w:rFonts w:hint="eastAsia" w:ascii="宋体" w:hAnsi="宋体" w:eastAsia="宋体" w:cs="宋体"/>
          <w:color w:val="auto"/>
          <w:sz w:val="24"/>
          <w:szCs w:val="24"/>
          <w:highlight w:val="none"/>
        </w:rPr>
        <w:t xml:space="preserve">文件规定应拒绝的失信信息。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（2）为采购项目提供整体设计、规范编制或者项目管理、监理、监测等服务的供应商，不得再参加该采购项目的其他采购活动；本项目的此类供应商是：无。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w:t>
      </w:r>
      <w:r>
        <w:rPr>
          <w:rFonts w:hint="eastAsia" w:ascii="宋体" w:hAnsi="宋体" w:eastAsia="宋体" w:cs="宋体"/>
          <w:color w:val="auto"/>
          <w:sz w:val="24"/>
          <w:highlight w:val="none"/>
        </w:rPr>
        <w:t xml:space="preserve">（包含法定代表人为同一个人的两个及两个以上法人，母公司、全资子公司及其控股公司）</w:t>
      </w:r>
      <w:r>
        <w:rPr>
          <w:rFonts w:hint="eastAsia" w:ascii="宋体" w:hAnsi="宋体" w:eastAsia="宋体" w:cs="宋体"/>
          <w:color w:val="auto"/>
          <w:sz w:val="24"/>
          <w:szCs w:val="24"/>
          <w:highlight w:val="none"/>
        </w:rPr>
        <w:t xml:space="preserve">，不得参加同一合同项下的政府采购活动。</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分包、转包</w:t>
      </w:r>
      <w:r/>
    </w:p>
    <w:p>
      <w:pPr>
        <w:ind w:left="525"/>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本项目不允许分包或转包。</w:t>
      </w:r>
      <w:r/>
    </w:p>
    <w:p>
      <w:pPr>
        <w:ind w:left="525"/>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1.3投标费用</w:t>
      </w:r>
      <w:r/>
    </w:p>
    <w:p>
      <w:pPr>
        <w:ind w:left="525"/>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highlight w:val="none"/>
        </w:rPr>
        <w:t xml:space="preserve">无论投标过程中的做法和结果如何，</w:t>
      </w:r>
      <w:r>
        <w:rPr>
          <w:rFonts w:hint="eastAsia" w:ascii="宋体" w:hAnsi="宋体" w:eastAsia="宋体" w:cs="宋体"/>
          <w:color w:val="auto"/>
          <w:sz w:val="24"/>
          <w:szCs w:val="24"/>
          <w:highlight w:val="none"/>
        </w:rPr>
        <w:t xml:space="preserve">供应商应自行承担所有准备及参加投标的相关费用。</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 保密</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参与采购活动的各方应对采购文件和响应文件中的商业和技术等秘密保密，否则应承担相应的法律责任。</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 语言文字</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1.6计量单位</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除采购文件有特殊要求外，所有计量均采用中华人民共和国法定计量单位。</w:t>
      </w:r>
      <w:r/>
    </w:p>
    <w:p>
      <w:pPr>
        <w:ind w:left="5" w:firstLine="520"/>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1.7知识产权</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供应商须保障采购人在使用该服务或其任何一部分时不受到第三方关于侵犯专利权、商标权等知识产权的指控。如果任何第三方提出侵权指控，供应商须与第三方交涉，并承担由此而产生的索赔、损失、损害、支出等一切费用（含律师费）。如采购人因此而遭致损失的，供应商应赔偿该损失（包括但不限于由此产生的索赔、损失、损害、支出、律师费、调查费等一切费用）</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eastAsia="zh-CN"/>
        </w:rPr>
        <w:t xml:space="preserve">因履行本合同产生的</w:t>
      </w:r>
      <w:r>
        <w:rPr>
          <w:rFonts w:hint="eastAsia" w:ascii="宋体" w:hAnsi="宋体" w:eastAsia="宋体" w:cs="宋体"/>
          <w:b/>
          <w:color w:val="auto"/>
          <w:sz w:val="24"/>
          <w:szCs w:val="24"/>
          <w:highlight w:val="none"/>
        </w:rPr>
        <w:t xml:space="preserve">知识产权归采购单位所</w:t>
      </w:r>
      <w:r>
        <w:rPr>
          <w:rFonts w:hint="eastAsia" w:ascii="宋体" w:hAnsi="宋体" w:eastAsia="宋体" w:cs="宋体"/>
          <w:b/>
          <w:color w:val="auto"/>
          <w:sz w:val="24"/>
          <w:szCs w:val="24"/>
          <w:highlight w:val="none"/>
          <w:lang w:eastAsia="zh-CN"/>
        </w:rPr>
        <w:t xml:space="preserve">有</w:t>
      </w:r>
      <w:r>
        <w:rPr>
          <w:rFonts w:hint="eastAsia" w:ascii="宋体" w:hAnsi="宋体" w:eastAsia="宋体" w:cs="宋体"/>
          <w:b/>
          <w:color w:val="auto"/>
          <w:sz w:val="24"/>
          <w:szCs w:val="24"/>
          <w:highlight w:val="none"/>
        </w:rPr>
        <w:t xml:space="preserve">。</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2.采购文件的说明</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2.1采购文件的获取</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见第一章竞争性磋商邀请函</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2.2采购文件的询问</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供应商在收到磋商文件后，若有问题需要询问，应于下载磋商文件后，可通过公告中的联系方式及时提出，采购人或采购代理机构将予以解答。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2.3采购文件的澄清或修改</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2.3.2为保证供应商有足够时间修正响应文件，或出于其他合理原因，采购人或采购代理机构可依法顺延响应截止时间和开启时间。</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2.3.4采购文件的澄清、修改、补充等内容均以苏州市政府采购网上发布的内容为准。</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3.响应文件说明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响应单位应详细阅读采购文件的全部内容，不按采购文件的要求提供的响应文件和资料，其风险由响应单位自行承担，并根据有关条款规定，可能导致响应无效。</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3.1磋商保证金：无</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3.2响应文件的组成</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3.2.1封面</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3.2.2开标一览表（格式见第三章）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rPr>
          <w:rFonts w:hint="eastAsia" w:ascii="宋体" w:hAnsi="宋体" w:eastAsia="宋体" w:cs="宋体"/>
          <w:bCs/>
          <w:color w:val="auto"/>
          <w:sz w:val="24"/>
          <w:szCs w:val="24"/>
          <w:highlight w:val="none"/>
        </w:rPr>
        <w:t xml:space="preserve">清单报价明细表</w:t>
      </w:r>
      <w:r>
        <w:rPr>
          <w:rFonts w:hint="eastAsia" w:ascii="宋体" w:hAnsi="宋体" w:eastAsia="宋体" w:cs="宋体"/>
          <w:color w:val="auto"/>
          <w:sz w:val="24"/>
          <w:szCs w:val="24"/>
          <w:highlight w:val="none"/>
        </w:rPr>
        <w:t xml:space="preserve">；</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3.2.4资格审查响应文件：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3.2.4.1</w:t>
      </w:r>
      <w:r>
        <w:rPr>
          <w:rFonts w:hint="eastAsia" w:ascii="宋体" w:hAnsi="宋体" w:eastAsia="宋体"/>
          <w:color w:val="auto"/>
          <w:sz w:val="24"/>
          <w:szCs w:val="24"/>
          <w:highlight w:val="none"/>
        </w:rPr>
        <w:t xml:space="preserve">供应商的资格要求：</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（2）具有良好的商业信誉和健全的财务会计制度的材料：包括但不限于法人提供2023年度或2024年度经审计的财务报告或基本开户银行在本年度内出具的资信证明复印件；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（3）具有履行合同所必需的设备和专业技术能力的证明材料复印件或承诺；</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3.2.4.2</w:t>
      </w:r>
      <w:r>
        <w:rPr>
          <w:rFonts w:hint="eastAsia" w:ascii="宋体" w:hAnsi="宋体" w:eastAsia="宋体"/>
          <w:color w:val="auto"/>
          <w:sz w:val="24"/>
          <w:szCs w:val="24"/>
          <w:highlight w:val="none"/>
        </w:rPr>
        <w:t xml:space="preserve">其他有关资格证明的文件</w:t>
      </w:r>
      <w:r>
        <w:rPr>
          <w:rFonts w:hint="eastAsia" w:ascii="宋体" w:hAnsi="宋体" w:eastAsia="宋体" w:cs="宋体"/>
          <w:color w:val="auto"/>
          <w:sz w:val="24"/>
          <w:szCs w:val="24"/>
          <w:highlight w:val="none"/>
        </w:rPr>
        <w:t xml:space="preserve">。</w:t>
      </w:r>
      <w:r/>
    </w:p>
    <w:p>
      <w:pPr>
        <w:ind w:left="5" w:firstLine="520"/>
        <w:spacing w:line="360" w:lineRule="auto"/>
        <w:tabs>
          <w:tab w:val="left" w:pos="851" w:leader="none"/>
        </w:tabs>
        <w:rPr>
          <w:rFonts w:ascii="宋体" w:hAnsi="宋体" w:eastAsia="宋体"/>
          <w:color w:val="auto"/>
          <w:sz w:val="24"/>
          <w:szCs w:val="24"/>
          <w:highlight w:val="none"/>
        </w:rPr>
      </w:pPr>
      <w:r>
        <w:rPr>
          <w:rFonts w:hint="eastAsia" w:ascii="宋体" w:hAnsi="宋体" w:eastAsia="宋体" w:cs="宋体"/>
          <w:b/>
          <w:bCs/>
          <w:color w:val="auto"/>
          <w:sz w:val="24"/>
          <w:szCs w:val="24"/>
          <w:highlight w:val="none"/>
        </w:rPr>
        <w:t xml:space="preserve">3.2.5符合性审查响应文件</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3.2.5.1磋商响应函（格式见第三章）；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3.2.5.2关于资格文件的声明函（格式见第三章）；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3.2.5.3法定代表人身份证复印件；</w:t>
      </w:r>
      <w:r/>
    </w:p>
    <w:p>
      <w:pPr>
        <w:ind w:left="5" w:firstLine="518"/>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3.2.5.4法定代表人授权委托书及授权委托人身份证复印件（如有授权，格式见第三章）；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3.5.5.5未被“信用中国”、“信用江苏”及“中国政府采购网”列入失信被执行人、重大税收违法案件当事人名单、政府采购严重失信行为记录名单的查询记录页面截图；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对属于《节能产品政府采购品目清单》政府强制采购产品的，须提供该产品有效期内的认证等相关证明材料（若有）；</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其他有关符合性证明的文件（若有）。</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3.2.6综合评审响应文件(见第六章)。</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3.2.7与本次采购相关的其他证明材料。</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以上3.2.2-3.2.3项为供应商报价的依据，响应供应商必须提供并加盖电子公章，否则，磋商响应文件将被认定为未实质性响应。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以上3.2.4.1-3.2.4.2项为资格审查提供的资料，是作为对供应商资格审查、质疑身份认定的依据，响应供应商必须提供并加盖电子公章，否则，磋商响应文件将被认定为不符合资格审查要求。</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以上3.2.5.1-3.2.5.4为符合性审查必须提供的资料，响应供应商必须提供并加盖电子公章，否则，磋商响应文件将被认定为未实质性响应。</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制作电子响应文件时需与响应文件制作软件目录一一对应，将相关资料上传至相应模块。</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供应商应保证上传的响应文件完整、清晰可辨认，若因上传资料过小或模糊不清等无法辨认的都视为该资料未提供。</w:t>
      </w:r>
      <w:r/>
    </w:p>
    <w:p>
      <w:pPr>
        <w:ind w:firstLine="472"/>
        <w:spacing w:line="360" w:lineRule="auto"/>
        <w:tabs>
          <w:tab w:val="left" w:pos="540" w:leader="none"/>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如供应商响应文件中某些条款不响应磋商文件提出的全部服务内容与要求，须在响应文件中逐条列出，未列出的视同响应。</w:t>
      </w:r>
      <w:r/>
    </w:p>
    <w:p>
      <w:pPr>
        <w:ind w:firstLine="482"/>
        <w:spacing w:line="360" w:lineRule="auto"/>
        <w:tabs>
          <w:tab w:val="left" w:pos="142" w:leader="none"/>
          <w:tab w:val="left" w:pos="600" w:leader="none"/>
        </w:tabs>
        <w:rPr>
          <w:color w:val="auto"/>
          <w:highlight w:val="none"/>
        </w:rPr>
      </w:pPr>
      <w:r>
        <w:rPr>
          <w:rFonts w:hint="eastAsia" w:ascii="宋体" w:hAnsi="宋体" w:eastAsia="宋体" w:cs="宋体"/>
          <w:b/>
          <w:color w:val="auto"/>
          <w:sz w:val="24"/>
          <w:szCs w:val="24"/>
          <w:highlight w:val="none"/>
        </w:rPr>
        <w:t xml:space="preserve">如不同供应商使用同一台电脑制作的电子响应文件的，双方“文件制作机器码”一致的，则其响应文件将被认定为无效响应。</w:t>
      </w:r>
      <w:r/>
    </w:p>
    <w:p>
      <w:pPr>
        <w:ind w:left="525"/>
        <w:spacing w:line="360" w:lineRule="auto"/>
        <w:tabs>
          <w:tab w:val="left" w:pos="142" w:leader="none"/>
          <w:tab w:val="left" w:pos="600" w:leader="none"/>
        </w:tabs>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3.3响应报价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3.3.1响应报价应包括完成本采购项目全部内容的一切费用，除非合同条款中另有规定，响应单位所报价格在合同实施期间不因市场变化因素而变动。</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3.3.2如果采购文件要求分标段投标的，则供应商可以根据自身经营许可范围，选择响应其中部分或者全部标段，但各标段应分别计算填写单价和总价。</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3.3.3供应商应对所投项目的全部内容进行报价，只对其中部分内容报价的，其响应无效。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3.3.4一项采购内容只允许一个报价，任何有选择性响应报价的，其响应无效。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3.2.5响应文件报价中的单价和总价全部采用人民币表示，除非另有规定。</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3.3.6任意一次报价（包括首次报价、最后报价）超过磋商文件中规定的预算金额或者最高限价的，其响应文件按无效文件处理。</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3.3.7除因磋商文件修改导致成本增加外，供应商最后报价超过首次报价的（响应文件中的报价），其响应文件按无效文件处理。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3.3.8报价的大写金额和小写金额不一致的，以大写金额为准。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3.3.9单价金额小数点或者百分比有明显错位的，以该次报价总价为准。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3.3.10总价金额与按单价汇总金额不一致的，以单价金额计算结果为准。</w:t>
      </w:r>
      <w:r/>
    </w:p>
    <w:p>
      <w:pPr>
        <w:ind w:left="525"/>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3.4电子响应文件的编制与提交</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响应文件编制要求：本项目为网上招投标项目，请供应商插入CA证书登陆“苏采云”系统下载客户端（参与项目页面可下载客户端及客户端使用说明），在客户端编制电子响应文件并进行CA加密。操作步骤详见“苏采云”系统页面提示和《操作手册》。</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3.4.3响应文件未按照磋商文件要求加盖CA电子公章的，响应无效。</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3.5响应文件的开启（解密）</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3.5.1线上参加（观看）开标（开启）会方式：登录苏采云系统，点击“开标大厅”，选择对应项目。</w:t>
      </w:r>
      <w:r/>
    </w:p>
    <w:p>
      <w:pPr>
        <w:ind w:left="5" w:firstLine="518"/>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auto"/>
          <w:sz w:val="24"/>
          <w:szCs w:val="24"/>
          <w:highlight w:val="none"/>
        </w:rPr>
        <w:t xml:space="preserve">否则导致的对供应商不利的后果由供应商自行承担。</w:t>
      </w:r>
      <w:r/>
    </w:p>
    <w:p>
      <w:pPr>
        <w:ind w:left="5" w:firstLine="520"/>
        <w:spacing w:line="360" w:lineRule="auto"/>
        <w:tabs>
          <w:tab w:val="left" w:pos="851" w:leader="none"/>
        </w:tabs>
        <w:rPr>
          <w:rFonts w:ascii="宋体" w:hAnsi="宋体" w:eastAsia="宋体" w:cs="宋体"/>
          <w:b/>
          <w:bCs/>
          <w:color w:val="auto"/>
          <w:sz w:val="24"/>
          <w:szCs w:val="24"/>
          <w:highlight w:val="none"/>
        </w:rPr>
      </w:pPr>
      <w:r/>
      <w:bookmarkStart w:id="2" w:name="_Hlk154589874"/>
      <w:r>
        <w:rPr>
          <w:rFonts w:hint="eastAsia" w:ascii="宋体" w:hAnsi="宋体" w:eastAsia="宋体" w:cs="宋体"/>
          <w:b/>
          <w:bCs/>
          <w:color w:val="auto"/>
          <w:sz w:val="24"/>
          <w:szCs w:val="24"/>
          <w:highlight w:val="none"/>
        </w:rPr>
        <w:t xml:space="preserve">3.5.3供应商在苏采云系统规定的时间内未成功解密电子响应文件的，响应无效。</w:t>
      </w:r>
      <w:r/>
    </w:p>
    <w:p>
      <w:pPr>
        <w:ind w:left="5" w:firstLine="520"/>
        <w:spacing w:line="360" w:lineRule="auto"/>
        <w:tabs>
          <w:tab w:val="left" w:pos="851"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w:t>
      </w:r>
      <w:bookmarkEnd w:id="2"/>
      <w:r>
        <w:rPr>
          <w:rFonts w:hint="eastAsia" w:ascii="宋体" w:hAnsi="宋体" w:eastAsia="宋体" w:cs="宋体"/>
          <w:color w:val="auto"/>
          <w:sz w:val="24"/>
          <w:szCs w:val="24"/>
          <w:highlight w:val="none"/>
        </w:rPr>
        <w:t xml:space="preserve">CA技术咨询服务电话：400-608-6099；</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电子签章技术咨询服务电话：025-83633811、025-83633812、15380932027、15371015030；</w:t>
      </w:r>
      <w:r/>
    </w:p>
    <w:p>
      <w:pPr>
        <w:ind w:left="5" w:firstLine="518"/>
        <w:spacing w:line="360" w:lineRule="auto"/>
        <w:tabs>
          <w:tab w:val="left" w:pos="851"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苏州市及区县“苏采云”系统使用指导与咨询：联系电话：0512-69820854、18261002950；QQ：3048755361、1315179389、895706745；智能客服：登录苏采云系统后，联系系统右下方智能客服图标进行咨询。 </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3.6响应文件的修改和撤回</w:t>
      </w:r>
      <w:r/>
    </w:p>
    <w:p>
      <w:pPr>
        <w:pStyle w:val="90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3.6.1供应商在提交响应文件截止时间前，可以对所递交的响应文件进行补充、修改或者撤回，具体操作方法见《操作手册》。提交响应文件截止时间后供应商不得撤回响应文件。</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4.磋商程序</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4.1磋商小组</w:t>
      </w:r>
      <w:r/>
    </w:p>
    <w:p>
      <w:pPr>
        <w:pStyle w:val="90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4.1.1采购代理机构负责组织评审工作；磋商小组由相关专家及采购人代表组成，负责具体评审事务，并独立履行法律、法规规定的职责。</w:t>
      </w:r>
      <w:r/>
    </w:p>
    <w:p>
      <w:pPr>
        <w:pStyle w:val="90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4.1.2磋商小组与参加采购活动的供应商存在下列利害关系之一的，应当回避：</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(2)与供应商的法定代表人或者负责人有夫妻、直系血亲、三代以内旁系血亲或者近姻亲关系;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(3)与供应商有其他可能影响政府采购活动公平、公正进行的关系。</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磋商小组发现本人与参加采购活动的供应商有利害关系的,应当主动提出回避。采购人或者采购代理机构发现磋商小组与参加采购活动的供应商有利害关系的，应当要求其回避。</w:t>
      </w:r>
      <w:r/>
    </w:p>
    <w:p>
      <w:pPr>
        <w:pStyle w:val="90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90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4.1.4磋商小组成员应当按照客观、公正、审慎的原则，根据采购文件规定的评审程序、评审方法和评审标准进行独立评审。</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4.2资格审查</w:t>
      </w:r>
      <w:r/>
    </w:p>
    <w:p>
      <w:pPr>
        <w:pStyle w:val="90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4.2.1由磋商小组按磋商文件的资格条件进行资格性审查，</w:t>
      </w:r>
      <w:r>
        <w:rPr>
          <w:rFonts w:hint="eastAsia" w:ascii="宋体" w:hAnsi="宋体" w:eastAsia="宋体" w:cs="宋体"/>
          <w:b/>
          <w:color w:val="auto"/>
          <w:sz w:val="24"/>
          <w:szCs w:val="24"/>
          <w:highlight w:val="none"/>
        </w:rPr>
        <w:t xml:space="preserve">未通过资格审查的响应无效。</w:t>
      </w:r>
      <w:r/>
    </w:p>
    <w:p>
      <w:pPr>
        <w:pStyle w:val="90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4.2.2根据政府采购法及相关法规，以及苏州市财政局《关于印发苏州市市级政府采购信用记录查询和使用工作试行办法的通知》（苏财购（2017）11号）和《</w:t>
      </w:r>
      <w:r>
        <w:rPr>
          <w:rFonts w:ascii="宋体" w:hAnsi="宋体" w:eastAsia="宋体" w:cs="宋体"/>
          <w:color w:val="auto"/>
          <w:sz w:val="24"/>
          <w:szCs w:val="24"/>
          <w:highlight w:val="none"/>
        </w:rPr>
        <w:t xml:space="preserve">关于在政府采购活动中甄别较大数额罚款有关事项的通知</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（苏财购〔2021〕32号）</w:t>
      </w:r>
      <w:r>
        <w:rPr>
          <w:rFonts w:hint="eastAsia" w:ascii="宋体" w:hAnsi="宋体" w:eastAsia="宋体" w:cs="宋体"/>
          <w:color w:val="auto"/>
          <w:sz w:val="24"/>
          <w:szCs w:val="24"/>
          <w:highlight w:val="none"/>
        </w:rPr>
        <w:t xml:space="preserve">文件的规定，将对供应商进行信用查询。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（1）查询时间：响应文件递交截止时间。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（2）查询渠道：通过“信用中国”、“信用江苏”及“中国政府采购网” 上的信用信息查询供应商的信用记录。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查询证据留存方式：对存在失信信息的供应商，评审小组应填写《苏州市级政府采购供应商失信信息确认函》，由失信供应商签名（章）确认。采购代理机构工作人员应登陆到来源网站页面进行复核并打印，作为证据留存。</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（4）信用记录使用规则：磋商小组在对供应商进行资格性审查时，应根据查询结果对供应商的不良信用记录逐项甄别确认。</w:t>
      </w:r>
      <w:r>
        <w:rPr>
          <w:rFonts w:hint="eastAsia" w:ascii="宋体" w:hAnsi="宋体" w:eastAsia="宋体" w:cs="宋体"/>
          <w:b/>
          <w:color w:val="auto"/>
          <w:sz w:val="24"/>
          <w:szCs w:val="24"/>
          <w:highlight w:val="none"/>
        </w:rPr>
        <w:t xml:space="preserve">对于存在失信信息的供应商的响应文件应按无效文件处理：</w:t>
      </w:r>
      <w:r/>
    </w:p>
    <w:p>
      <w:pPr>
        <w:pStyle w:val="90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4.3磋商</w:t>
      </w:r>
      <w:r/>
    </w:p>
    <w:p>
      <w:pPr>
        <w:pStyle w:val="90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auto"/>
          <w:sz w:val="24"/>
          <w:szCs w:val="24"/>
          <w:highlight w:val="none"/>
          <w:lang w:val="zh-CN"/>
        </w:rPr>
        <w:t xml:space="preserve">具体操作方式见《操作手册》</w:t>
      </w:r>
      <w:r>
        <w:rPr>
          <w:rFonts w:hint="eastAsia" w:ascii="宋体" w:hAnsi="宋体" w:eastAsia="宋体" w:cs="宋体"/>
          <w:color w:val="auto"/>
          <w:sz w:val="24"/>
          <w:szCs w:val="24"/>
          <w:highlight w:val="none"/>
        </w:rPr>
        <w:t xml:space="preserve">。</w:t>
      </w:r>
      <w:r/>
    </w:p>
    <w:p>
      <w:pPr>
        <w:pStyle w:val="90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w:t>
      </w:r>
      <w:r>
        <w:rPr>
          <w:rFonts w:hint="eastAsia" w:ascii="宋体" w:hAnsi="宋体" w:eastAsia="宋体" w:cs="宋体"/>
          <w:color w:val="auto"/>
          <w:sz w:val="24"/>
          <w:szCs w:val="24"/>
          <w:highlight w:val="none"/>
          <w:lang w:val="zh-CN"/>
        </w:rPr>
        <w:t xml:space="preserve">磋商小组认为有必要与供应商进行磋商的，</w:t>
      </w:r>
      <w:r>
        <w:rPr>
          <w:rFonts w:hint="eastAsia" w:ascii="宋体" w:hAnsi="宋体" w:eastAsia="宋体" w:cs="宋体"/>
          <w:color w:val="auto"/>
          <w:sz w:val="24"/>
          <w:szCs w:val="24"/>
          <w:highlight w:val="none"/>
        </w:rPr>
        <w:t xml:space="preserve">磋商供应商按顺序进行磋商。磋商小组所有成员应当集中与单一供应商分别进行磋商，并给予所有参加磋商的供应商平等的磋商机会。</w:t>
      </w:r>
      <w:r/>
    </w:p>
    <w:p>
      <w:pPr>
        <w:pStyle w:val="90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pStyle w:val="90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pStyle w:val="90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auto"/>
          <w:sz w:val="24"/>
          <w:szCs w:val="24"/>
          <w:highlight w:val="none"/>
          <w:lang w:val="zh-CN"/>
        </w:rPr>
        <w:t xml:space="preserve">未按要求重新提交响应文件的按响应无效处理。</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4.4澄清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0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4.4.1本项目采用线上澄清。</w:t>
      </w:r>
      <w:r/>
    </w:p>
    <w:p>
      <w:pPr>
        <w:pStyle w:val="90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w:t>
      </w:r>
      <w:r>
        <w:rPr>
          <w:rFonts w:hint="eastAsia" w:ascii="宋体" w:hAnsi="宋体" w:eastAsia="宋体" w:cs="宋体"/>
          <w:color w:val="auto"/>
          <w:sz w:val="24"/>
          <w:szCs w:val="24"/>
          <w:highlight w:val="none"/>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pStyle w:val="90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4.4.3接到磋商小组澄清、说明和更正要求的供应商如未按规定做出澄清、说明和更正，其风险由供应商自行承担。</w:t>
      </w:r>
      <w:r/>
    </w:p>
    <w:p>
      <w:pPr>
        <w:ind w:left="525"/>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4.5最后报价</w:t>
      </w:r>
      <w:r/>
    </w:p>
    <w:p>
      <w:pPr>
        <w:ind w:left="5" w:firstLine="518"/>
        <w:spacing w:line="360" w:lineRule="auto"/>
        <w:tabs>
          <w:tab w:val="left" w:pos="0" w:leader="none"/>
        </w:tabs>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4.5.1磋商结束后，磋商小组应当要求所有继续参加磋商的供应商在规定时间内提交最后报价（</w:t>
      </w:r>
      <w:r>
        <w:rPr>
          <w:rFonts w:hint="eastAsia" w:ascii="宋体" w:hAnsi="宋体" w:eastAsia="宋体" w:cs="宋体"/>
          <w:b/>
          <w:color w:val="auto"/>
          <w:sz w:val="24"/>
          <w:szCs w:val="24"/>
          <w:highlight w:val="none"/>
        </w:rPr>
        <w:t xml:space="preserve">除因磋商文件修改导致成本增加，最后报价不得超过一次报价，否则为无效响应报价，因供应商自身原因导致线上报价失败的后果由供应商自行承担。供应商未在磋商小组规定的时间内在苏采云系统中提交最后报价的视为放弃磋商，其响应文件按无效响应处理</w:t>
      </w:r>
      <w:r>
        <w:rPr>
          <w:rFonts w:hint="eastAsia" w:ascii="宋体" w:hAnsi="宋体" w:eastAsia="宋体" w:cs="宋体"/>
          <w:color w:val="auto"/>
          <w:sz w:val="24"/>
          <w:szCs w:val="24"/>
          <w:highlight w:val="none"/>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auto"/>
          <w:sz w:val="24"/>
          <w:szCs w:val="24"/>
          <w:highlight w:val="none"/>
          <w:lang w:val="zh-CN"/>
        </w:rPr>
        <w:t xml:space="preserve">最后报价是供应商响应文件的有效组成部分。</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auto"/>
          <w:sz w:val="24"/>
          <w:szCs w:val="24"/>
          <w:highlight w:val="none"/>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color w:val="auto"/>
          <w:sz w:val="24"/>
          <w:szCs w:val="24"/>
          <w:highlight w:val="none"/>
        </w:rPr>
        <w:t xml:space="preserve">已提交响应文件的供应商，在提交最后报价之前，可以根据磋商情况退出磋商，并在苏采云系统中提交“退出磋商函”并加盖CA电子公章。</w:t>
      </w:r>
      <w:r/>
    </w:p>
    <w:p>
      <w:pPr>
        <w:ind w:left="5" w:firstLine="518"/>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left="525"/>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4.5.3政府采购异常低价审查：</w:t>
      </w:r>
      <w:r/>
    </w:p>
    <w:p>
      <w:pPr>
        <w:pStyle w:val="90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4.5.3.1评审过程中出现下列情形之一的，评审委员会应当启动异常低价投标（响应）审查程序：</w:t>
      </w:r>
      <w:r/>
    </w:p>
    <w:p>
      <w:pPr>
        <w:pStyle w:val="90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（1）投标（响应）报价低于采购项目预算50%的，即投标（响应）报价&lt;采购项目预算×50%；</w:t>
      </w:r>
      <w:r/>
    </w:p>
    <w:p>
      <w:pPr>
        <w:pStyle w:val="90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（2）投标（响应）报价低于采购项目最高限价45%的，即投标（响应）报价&lt;采购项目最高限价×45%；</w:t>
      </w:r>
      <w:r/>
    </w:p>
    <w:p>
      <w:pPr>
        <w:pStyle w:val="90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（3）评审委员会认定的供应商报价过低、有可能影响产品质量或者不能诚信履约的其他情形。</w:t>
      </w:r>
      <w:r/>
    </w:p>
    <w:p>
      <w:pPr>
        <w:pStyle w:val="90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4.5.3.2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07"/>
        <w:ind w:left="420" w:firstLine="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4.5.4未在规定时间提交最后报价的，响应文件按无效处理。</w:t>
      </w:r>
      <w:r/>
    </w:p>
    <w:p>
      <w:pPr>
        <w:pStyle w:val="907"/>
        <w:ind w:left="420" w:firstLine="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4.5.5在规定时间内提交最后报价的供应商少于3家的，项目终止。</w:t>
      </w:r>
      <w:r/>
    </w:p>
    <w:p>
      <w:pPr>
        <w:pStyle w:val="90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4.5.6如磋商过程中出现本磋商文件未尽事宜，由磋商小组根据政府采购有关法律、法规讨论决定。</w:t>
      </w:r>
      <w:r/>
    </w:p>
    <w:p>
      <w:pPr>
        <w:pStyle w:val="907"/>
        <w:ind w:firstLine="42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5、成交</w:t>
      </w:r>
      <w:r/>
    </w:p>
    <w:p>
      <w:pPr>
        <w:pStyle w:val="90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本项目评标方法采用综合评分法，即指响应文件满足采购文件全部实质性要求，且按照评审因素的量化指标评审得分最高的供应商为成交候选人的评标方法。磋商小组应当根据综合评分情况，按照评审得分由高到底顺序推荐3名以上成交候选供应商，评审得分相同的，按照最后报价由低到高的顺序推荐，评审得分且最后报价相同的，则由磋商小组组织抽签确定成交候选人顺序。</w:t>
      </w:r>
      <w:r/>
    </w:p>
    <w:p>
      <w:pPr>
        <w:pStyle w:val="90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5.2本项目由采购人书面授权磋商小组直接确定成交供应商，并将结果通知所有参加磋商的供应商。</w:t>
      </w:r>
      <w:r/>
    </w:p>
    <w:p>
      <w:pPr>
        <w:pStyle w:val="90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5.3采购人或者采购代理机构应当在成交供应商确定后2个工作日内，在政府采购信息媒体上发布成交结果，成交公告期限为1个工作日。</w:t>
      </w:r>
      <w:r/>
    </w:p>
    <w:p>
      <w:pPr>
        <w:pStyle w:val="907"/>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5.4采购人或采购代理机构根据相关规定发布成交公告，成交公告发出的同时应当向成交供应商发出《成交通知书》</w:t>
      </w:r>
      <w:bookmarkStart w:id="3" w:name="_Hlk132385577"/>
      <w:r/>
      <w:bookmarkStart w:id="4" w:name="_Hlk132389804"/>
      <w:r/>
      <w:bookmarkStart w:id="5" w:name="_Hlk132385599"/>
      <w:r>
        <w:rPr>
          <w:rFonts w:hint="eastAsia" w:ascii="宋体" w:hAnsi="宋体" w:eastAsia="宋体" w:cs="宋体"/>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eastAsia="宋体" w:cs="宋体"/>
          <w:color w:val="auto"/>
          <w:sz w:val="24"/>
          <w:szCs w:val="24"/>
          <w:highlight w:val="none"/>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pStyle w:val="90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5.5成交通知书发出后，采购人不得违法改变成交结果，成交供应商无正当理由不得放弃成交。</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6、履约保证金：无</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7、项目终止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出现下列情形之一的，采购人或者采购代理机构应当终止竞争性磋商采购活动，发布项目终止公告并说明原因，重新开展采购活动：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1、因情况变化，不再符合规定的竞争性磋商采购方式适用情形的；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3、在采购过程中符合竞争要求的供应商或者报价未超过采购预算的供应商不足3家的，但符合《政府采购竞争性磋商采购方式管理暂行办法》第三条第四项的情形除外。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项目终止后，采购代理机构应当将项目终止的理由告知所有供应商。</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8.1采购人应当自成交通知书发出之日起15日内（最迟30日内</w:t>
      </w:r>
      <w:r>
        <w:rPr>
          <w:rFonts w:hint="eastAsia"/>
          <w:color w:val="auto"/>
          <w:szCs w:val="21"/>
          <w:highlight w:val="none"/>
        </w:rPr>
        <w:t xml:space="preserve">）</w:t>
      </w:r>
      <w:r>
        <w:rPr>
          <w:rFonts w:hint="eastAsia" w:ascii="宋体" w:hAnsi="宋体" w:eastAsia="宋体" w:cs="宋体"/>
          <w:color w:val="auto"/>
          <w:sz w:val="24"/>
          <w:szCs w:val="24"/>
          <w:highlight w:val="none"/>
        </w:rPr>
        <w:t xml:space="preserve">，按照采购文件及响应文件规定与成交单位签订书面合同。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采购人不得向成交供应商提出任何不合理的要求作为签订合同的条件，不得与成交供应商私下订立背离合同实质性内容的协议。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8.5成交供应商无正当理由不得放弃成交。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9.1质疑及答复遵守《政府采购质疑和投诉办法》（中华人民共和国财政部令第94号）规定。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9.3供应商应当在法定质疑期内一次性提出针对同一采购程序环节的质疑。供应商如在法定期限内对同一采购程序环节提出多次质疑的，采购代理机构、采购人将只对供应商第一次质疑作出答复。</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auto"/>
          <w:sz w:val="24"/>
          <w:szCs w:val="24"/>
          <w:highlight w:val="none"/>
        </w:rPr>
        <w:t xml:space="preserve">。供应商质疑函范本格式请参照“苏州市政府采购”网站——“下载中心”——“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10、响应文件的有效期</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10.1响应文件的有效期自提交响应文件的截止之日起九十天，响应文件应保持有效。响应文件的有效期不明确或短于上述规定期限的，响应文件无效。</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11、代理服务费：由成交供应商承担。</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11.1代理服务费以采购预算金额为基数依据，按如下规定的标准和差额定率累进法进行计算收取：</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ind w:firstLine="518"/>
        <w:spacing w:line="360" w:lineRule="auto"/>
        <w:rPr>
          <w:rFonts w:eastAsia="宋体"/>
          <w:color w:val="auto"/>
          <w:highlight w:val="none"/>
        </w:rPr>
      </w:pPr>
      <w:r>
        <w:rPr>
          <w:rFonts w:hint="eastAsia" w:ascii="宋体" w:hAnsi="宋体" w:eastAsia="宋体" w:cs="宋体"/>
          <w:bCs/>
          <w:color w:val="auto"/>
          <w:sz w:val="24"/>
          <w:szCs w:val="24"/>
          <w:highlight w:val="none"/>
        </w:rPr>
        <w:t xml:space="preserve">本项目代理服务费（人民币）：第一标段3750.00元；第二标段3750.00元。</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11.2采购代理机构服务费账号如下：</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11.3代理服务费在领取中标通知书时一次性付清，该费用包含在投标报价中。</w:t>
      </w:r>
      <w:r/>
    </w:p>
    <w:p>
      <w:pPr>
        <w:ind w:firstLine="51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11.4中标单位如果未按上述规定缴纳中标服务费，采购代理机构将保留诉讼的权利。</w:t>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12、其他事项</w:t>
      </w:r>
      <w:r/>
    </w:p>
    <w:p>
      <w:pPr>
        <w:ind w:firstLine="51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按《中华人民共和国政府采购法》及其他有关法律法规的规定执行。</w:t>
      </w:r>
      <w:r/>
    </w:p>
    <w:p>
      <w:pPr>
        <w:pStyle w:val="911"/>
        <w:ind w:firstLine="0"/>
        <w:jc w:val="both"/>
        <w:spacing w:line="360" w:lineRule="auto"/>
        <w:rPr>
          <w:rFonts w:ascii="宋体" w:hAnsi="宋体" w:eastAsia="宋体" w:cs="宋体"/>
          <w:bCs/>
          <w:color w:val="auto"/>
          <w:szCs w:val="24"/>
          <w:highlight w:val="none"/>
        </w:rPr>
      </w:pPr>
      <w:r>
        <w:rPr>
          <w:rFonts w:ascii="宋体" w:hAnsi="宋体" w:eastAsia="宋体" w:cs="宋体"/>
          <w:bCs/>
          <w:color w:val="auto"/>
          <w:szCs w:val="24"/>
          <w:highlight w:val="none"/>
        </w:rPr>
      </w:r>
      <w:r/>
    </w:p>
    <w:p>
      <w:pPr>
        <w:pStyle w:val="911"/>
        <w:ind w:firstLine="0"/>
        <w:jc w:val="center"/>
        <w:spacing w:line="360" w:lineRule="auto"/>
        <w:rPr>
          <w:rFonts w:ascii="宋体" w:hAnsi="宋体" w:eastAsia="宋体" w:cs="宋体"/>
          <w:b/>
          <w:color w:val="auto"/>
          <w:szCs w:val="24"/>
          <w:highlight w:val="none"/>
          <w:lang w:val="zh-CN"/>
        </w:rPr>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第三章  </w:t>
      </w:r>
      <w:r>
        <w:rPr>
          <w:rFonts w:hint="eastAsia" w:ascii="宋体" w:hAnsi="宋体" w:eastAsia="宋体" w:cs="宋体"/>
          <w:b/>
          <w:color w:val="auto"/>
          <w:szCs w:val="24"/>
          <w:highlight w:val="none"/>
          <w:lang w:val="zh-CN"/>
        </w:rPr>
        <w:t xml:space="preserve">响应文件格式</w:t>
      </w:r>
      <w:r>
        <w:rPr>
          <w:rFonts w:hint="eastAsia" w:ascii="宋体" w:hAnsi="宋体" w:eastAsia="宋体" w:cs="宋体"/>
          <w:b/>
          <w:bCs/>
          <w:color w:val="auto"/>
          <w:szCs w:val="24"/>
          <w:highlight w:val="none"/>
        </w:rPr>
        <w:t xml:space="preserve">（各标段均适用）</w:t>
      </w:r>
      <w:r/>
    </w:p>
    <w:p>
      <w:pPr>
        <w:pStyle w:val="911"/>
        <w:ind w:firstLine="0"/>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1、磋商响应函</w:t>
      </w:r>
      <w:r/>
    </w:p>
    <w:p>
      <w:pPr>
        <w:pStyle w:val="101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苏州正杰招投标咨询服务有限公司：</w:t>
      </w:r>
      <w:r/>
    </w:p>
    <w:p>
      <w:pPr>
        <w:pStyle w:val="101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我们收到贵公司 </w:t>
      </w:r>
      <w:r>
        <w:rPr>
          <w:rFonts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号采购文件，经仔细阅读和研究，我们决定参加采购活动。</w:t>
      </w:r>
      <w:r/>
    </w:p>
    <w:p>
      <w:pPr>
        <w:pStyle w:val="101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rPr>
        <w:t xml:space="preserve">    1、我们愿意按照采购文件的一切要求，提供完成该项目的全部内容，我们的报价包括</w:t>
      </w:r>
      <w:r>
        <w:rPr>
          <w:rFonts w:hint="eastAsia" w:hAnsi="宋体" w:eastAsia="宋体" w:cs="宋体"/>
          <w:color w:val="auto"/>
          <w:sz w:val="24"/>
          <w:szCs w:val="24"/>
          <w:highlight w:val="none"/>
          <w:lang w:val="zh-CN"/>
        </w:rPr>
        <w:t xml:space="preserve">完成</w:t>
      </w:r>
      <w:r>
        <w:rPr>
          <w:rFonts w:hint="eastAsia" w:ascii="宋体" w:hAnsi="宋体" w:eastAsia="宋体" w:cs="宋体"/>
          <w:color w:val="auto"/>
          <w:sz w:val="24"/>
          <w:szCs w:val="24"/>
          <w:highlight w:val="none"/>
          <w:lang w:val="zh-CN"/>
        </w:rPr>
        <w:t xml:space="preserve">所有采购内容以及本项目所需的人工费、通讯费、交通费、资料费、研究报告及编制费（包含印刷费）、咨询费、后续评审服务费、成交服务费、保险、配套费用、税费及服务相关等所发生的全部费用以及企业利润、税金和政策性文件规定及合同包含的所有风险、责任等完成本项目的各项应有费用</w:t>
      </w:r>
      <w:r>
        <w:rPr>
          <w:rFonts w:hint="eastAsia" w:ascii="宋体" w:hAnsi="宋体" w:eastAsia="宋体" w:cs="宋体"/>
          <w:color w:val="auto"/>
          <w:sz w:val="24"/>
          <w:szCs w:val="24"/>
          <w:highlight w:val="none"/>
        </w:rPr>
        <w:t xml:space="preserve">。</w:t>
      </w:r>
      <w:r/>
    </w:p>
    <w:p>
      <w:pPr>
        <w:pStyle w:val="10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2、如果我们的响应文件被接受，我们将严格履行采购文件中规定的每一项要求，按期、按质、按量履行合同的义务。</w:t>
      </w:r>
      <w:r/>
    </w:p>
    <w:p>
      <w:pPr>
        <w:pStyle w:val="10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highlight w:val="none"/>
        </w:rPr>
        <w:t xml:space="preserve">我们已详细阅读全部磋商文件，包括更正公告(如有)，对磋商文件及更正公告(如有)无任何异议。</w:t>
      </w:r>
      <w:r/>
    </w:p>
    <w:p>
      <w:pPr>
        <w:pStyle w:val="10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4、我们同意按采购文件规定，响应文件有效期限为自</w:t>
      </w:r>
      <w:r>
        <w:rPr>
          <w:rFonts w:hint="eastAsia" w:ascii="宋体" w:hAnsi="宋体" w:eastAsia="宋体" w:cs="宋体"/>
          <w:bCs/>
          <w:color w:val="auto"/>
          <w:sz w:val="24"/>
          <w:szCs w:val="24"/>
          <w:highlight w:val="none"/>
          <w:lang w:val="zh-CN"/>
        </w:rPr>
        <w:t xml:space="preserve">响应文件提交截止之日</w:t>
      </w:r>
      <w:r>
        <w:rPr>
          <w:rFonts w:hint="eastAsia" w:ascii="宋体" w:hAnsi="宋体" w:eastAsia="宋体" w:cs="宋体"/>
          <w:color w:val="auto"/>
          <w:sz w:val="24"/>
          <w:szCs w:val="24"/>
          <w:highlight w:val="none"/>
        </w:rPr>
        <w:t xml:space="preserve">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天。如果我们在开标后规定的有效期内撤回，我们愿承担一切责任。</w:t>
      </w:r>
      <w:r/>
    </w:p>
    <w:p>
      <w:pPr>
        <w:pStyle w:val="10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5、我们愿意提供采购人在采购文件中要求的所有资料，也同意向贵方提供贵方可能另外要求的与其有关的任何证据或资料，并保证所提供的资料全部是真实的、有效的，若有虚假，我们愿承担一切责任。</w:t>
      </w:r>
      <w:r/>
    </w:p>
    <w:p>
      <w:pPr>
        <w:pStyle w:val="10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6、我们认为你们有权决定供应商，还认为你们有权接受或拒绝所有的供应商。</w:t>
      </w:r>
      <w:r/>
    </w:p>
    <w:p>
      <w:pPr>
        <w:pStyle w:val="10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7、我们愿意遵守采购文件中所列的收费标准。</w:t>
      </w:r>
      <w:r/>
    </w:p>
    <w:p>
      <w:pPr>
        <w:pStyle w:val="10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8、我们承诺本响应文件在磋商开始后的全过程中保持有效，不作任何更改和变动。我们同意</w:t>
      </w:r>
      <w:r>
        <w:rPr>
          <w:rFonts w:hint="eastAsia" w:ascii="宋体" w:hAnsi="宋体" w:eastAsia="宋体" w:cs="宋体"/>
          <w:color w:val="auto"/>
          <w:sz w:val="24"/>
          <w:szCs w:val="24"/>
          <w:highlight w:val="none"/>
          <w:lang w:val="zh-CN"/>
        </w:rPr>
        <w:t xml:space="preserve">成交</w:t>
      </w:r>
      <w:r>
        <w:rPr>
          <w:rFonts w:hint="eastAsia" w:ascii="宋体" w:hAnsi="宋体" w:eastAsia="宋体" w:cs="宋体"/>
          <w:color w:val="auto"/>
          <w:sz w:val="24"/>
          <w:szCs w:val="24"/>
          <w:highlight w:val="none"/>
        </w:rPr>
        <w:t xml:space="preserve">后若不履行响应文件的内容要求和各项承诺及义务的即被视为违约，我们愿承担一切责任。</w:t>
      </w:r>
      <w:r/>
    </w:p>
    <w:p>
      <w:pPr>
        <w:pStyle w:val="10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highlight w:val="none"/>
        </w:rPr>
        <w:t xml:space="preserve">我们承诺我公司符合磋商文件供应商须知中“合格供应商的基本、特定条件”的要求，若与真实情况不符，本公司愿意承担由此而产生的一切后果。</w:t>
      </w:r>
      <w:r/>
    </w:p>
    <w:p>
      <w:pPr>
        <w:pStyle w:val="10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10、如果我们成交，我们愿意在签订合同时按采购文件的规定支付成交服务费。</w:t>
      </w:r>
      <w:r/>
    </w:p>
    <w:p>
      <w:pPr>
        <w:pStyle w:val="1010"/>
        <w:ind w:firstLine="480"/>
        <w:spacing w:line="360" w:lineRule="auto"/>
        <w:rPr>
          <w:rFonts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11、本函填写的电子邮箱为我方此次采购活动中的授权邮箱，该邮箱发至</w:t>
      </w:r>
      <w:r>
        <w:rPr>
          <w:rFonts w:hint="eastAsia" w:hAnsi="宋体" w:eastAsia="宋体" w:cs="宋体"/>
          <w:color w:val="auto"/>
          <w:sz w:val="24"/>
          <w:szCs w:val="24"/>
          <w:highlight w:val="none"/>
        </w:rPr>
        <w:t xml:space="preserve">采购人或代理机构的函件无论是否签字或盖章，均视为我方的意思表示，我方均予以承认并承担相应后果。</w:t>
      </w:r>
      <w:r/>
    </w:p>
    <w:p>
      <w:pPr>
        <w:pStyle w:val="101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1</w:t>
      </w:r>
      <w:r>
        <w:rPr>
          <w:rFonts w:hAnsi="宋体" w:eastAsia="宋体" w:cs="宋体"/>
          <w:color w:val="auto"/>
          <w:sz w:val="24"/>
          <w:szCs w:val="24"/>
          <w:highlight w:val="none"/>
        </w:rPr>
        <w:t xml:space="preserve">2</w:t>
      </w:r>
      <w:r>
        <w:rPr>
          <w:rFonts w:hint="eastAsia" w:hAnsi="宋体" w:eastAsia="宋体" w:cs="宋体"/>
          <w:color w:val="auto"/>
          <w:sz w:val="24"/>
          <w:szCs w:val="24"/>
          <w:highlight w:val="none"/>
        </w:rPr>
        <w:t xml:space="preserve">、与本次磋商有关的通讯地址：</w:t>
      </w:r>
      <w:r/>
    </w:p>
    <w:p>
      <w:pPr>
        <w:pStyle w:val="101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单位名称：                                 联系人员：</w:t>
      </w:r>
      <w:r/>
    </w:p>
    <w:p>
      <w:pPr>
        <w:pStyle w:val="101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单位地址：                                 邮政编码：</w:t>
      </w:r>
      <w:r/>
    </w:p>
    <w:p>
      <w:pPr>
        <w:pStyle w:val="101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联系电话：                                 传真号码：</w:t>
      </w:r>
      <w:r/>
    </w:p>
    <w:p>
      <w:pPr>
        <w:pStyle w:val="911"/>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供应商：（单位盖章）</w:t>
      </w:r>
      <w:r/>
    </w:p>
    <w:p>
      <w:pPr>
        <w:pStyle w:val="911"/>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法定代表人或代理人：（签字或盖章）</w:t>
      </w:r>
      <w:r/>
    </w:p>
    <w:p>
      <w:pPr>
        <w:pStyle w:val="91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ascii="宋体" w:hAnsi="宋体" w:eastAsia="宋体" w:cs="宋体"/>
          <w:b/>
          <w:color w:val="auto"/>
          <w:sz w:val="24"/>
          <w:szCs w:val="24"/>
          <w:highlight w:val="none"/>
          <w:lang w:val="zh-CN"/>
        </w:rPr>
      </w:pPr>
      <w:r>
        <w:rPr>
          <w:rFonts w:hint="eastAsia" w:ascii="宋体" w:hAnsi="宋体"/>
          <w:b/>
          <w:color w:val="auto"/>
          <w:szCs w:val="21"/>
          <w:highlight w:val="none"/>
        </w:rPr>
        <w:br w:type="page" w:clear="all"/>
      </w:r>
      <w:r>
        <w:rPr>
          <w:rFonts w:hint="eastAsia" w:ascii="宋体" w:hAnsi="宋体"/>
          <w:b/>
          <w:color w:val="auto"/>
          <w:szCs w:val="21"/>
          <w:highlight w:val="none"/>
        </w:rPr>
        <w:t xml:space="preserve">2、</w:t>
      </w:r>
      <w:r>
        <w:rPr>
          <w:rFonts w:hint="eastAsia" w:ascii="宋体" w:hAnsi="宋体" w:eastAsia="宋体" w:cs="宋体"/>
          <w:b/>
          <w:color w:val="auto"/>
          <w:sz w:val="24"/>
          <w:szCs w:val="24"/>
          <w:highlight w:val="none"/>
          <w:lang w:val="zh-CN"/>
        </w:rPr>
        <w:t xml:space="preserve">法定代表人授权委托书</w:t>
      </w:r>
      <w:r/>
    </w:p>
    <w:p>
      <w:pPr>
        <w:pStyle w:val="911"/>
        <w:ind w:firstLine="0"/>
        <w:jc w:val="cente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1033"/>
        <w:ind w:firstLine="484"/>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本授权委托书声明：我</w:t>
      </w:r>
      <w:r>
        <w:rPr>
          <w:rFonts w:hAnsi="宋体" w:eastAsia="宋体" w:cs="宋体"/>
          <w:color w:val="auto"/>
          <w:sz w:val="24"/>
          <w:szCs w:val="24"/>
          <w:highlight w:val="none"/>
          <w:u w:val="single"/>
        </w:rPr>
        <w:t xml:space="preserve">（姓名）</w:t>
      </w:r>
      <w:r>
        <w:rPr>
          <w:rFonts w:hAnsi="宋体" w:eastAsia="宋体" w:cs="宋体"/>
          <w:color w:val="auto"/>
          <w:sz w:val="24"/>
          <w:szCs w:val="24"/>
          <w:highlight w:val="none"/>
        </w:rPr>
        <w:t xml:space="preserve">系</w:t>
      </w:r>
      <w:r>
        <w:rPr>
          <w:rFonts w:hAnsi="宋体" w:eastAsia="宋体" w:cs="宋体"/>
          <w:color w:val="auto"/>
          <w:sz w:val="24"/>
          <w:szCs w:val="24"/>
          <w:highlight w:val="none"/>
          <w:u w:val="single"/>
        </w:rPr>
        <w:t xml:space="preserve">（</w:t>
      </w:r>
      <w:r>
        <w:rPr>
          <w:rFonts w:hint="eastAsia" w:hAnsi="宋体" w:eastAsia="宋体" w:cs="宋体"/>
          <w:color w:val="auto"/>
          <w:sz w:val="24"/>
          <w:szCs w:val="24"/>
          <w:highlight w:val="none"/>
          <w:u w:val="single"/>
        </w:rPr>
        <w:t xml:space="preserve">供应商</w:t>
      </w:r>
      <w:r>
        <w:rPr>
          <w:rFonts w:hAnsi="宋体" w:eastAsia="宋体" w:cs="宋体"/>
          <w:color w:val="auto"/>
          <w:sz w:val="24"/>
          <w:szCs w:val="24"/>
          <w:highlight w:val="none"/>
          <w:u w:val="single"/>
        </w:rPr>
        <w:t xml:space="preserve">名称）</w:t>
      </w:r>
      <w:r>
        <w:rPr>
          <w:rFonts w:hAnsi="宋体" w:eastAsia="宋体" w:cs="宋体"/>
          <w:color w:val="auto"/>
          <w:sz w:val="24"/>
          <w:szCs w:val="24"/>
          <w:highlight w:val="none"/>
        </w:rPr>
        <w:t xml:space="preserve">的法定代表人，现授权委托</w:t>
      </w:r>
      <w:r>
        <w:rPr>
          <w:rFonts w:hAnsi="宋体" w:eastAsia="宋体" w:cs="宋体"/>
          <w:color w:val="auto"/>
          <w:sz w:val="24"/>
          <w:szCs w:val="24"/>
          <w:highlight w:val="none"/>
          <w:u w:val="single"/>
        </w:rPr>
        <w:t xml:space="preserve">（姓名）</w:t>
      </w:r>
      <w:r>
        <w:rPr>
          <w:rFonts w:hAnsi="宋体" w:eastAsia="宋体" w:cs="宋体"/>
          <w:color w:val="auto"/>
          <w:sz w:val="24"/>
          <w:szCs w:val="24"/>
          <w:highlight w:val="none"/>
        </w:rPr>
        <w:t xml:space="preserve">为我公司代理人，以本公司的名义参加</w:t>
      </w:r>
      <w:r>
        <w:rPr>
          <w:rFonts w:hAnsi="宋体" w:eastAsia="宋体" w:cs="宋体"/>
          <w:color w:val="auto"/>
          <w:sz w:val="24"/>
          <w:szCs w:val="24"/>
          <w:highlight w:val="none"/>
          <w:u w:val="single"/>
        </w:rPr>
        <w:t xml:space="preserve">（采购人名称）</w:t>
      </w:r>
      <w:r>
        <w:rPr>
          <w:rFonts w:hAnsi="宋体" w:eastAsia="宋体" w:cs="宋体"/>
          <w:color w:val="auto"/>
          <w:sz w:val="24"/>
          <w:szCs w:val="24"/>
          <w:highlight w:val="none"/>
        </w:rPr>
        <w:t xml:space="preserve">组织实施的编号为</w:t>
      </w:r>
      <w:r>
        <w:rPr>
          <w:rFonts w:hint="eastAsia"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号的采购活动。代理人在投标、开标、评标、合同订立和履行过程中所签署的一切文件和处理与这有关的一切事务，我均予以承认。</w:t>
      </w:r>
      <w:r/>
    </w:p>
    <w:p>
      <w:pPr>
        <w:pStyle w:val="1033"/>
        <w:ind w:firstLine="484"/>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1033"/>
        <w:ind w:firstLine="484"/>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代理人无转委托权。特此委托。</w:t>
      </w:r>
      <w:r/>
    </w:p>
    <w:p>
      <w:pPr>
        <w:pStyle w:val="1033"/>
        <w:ind w:firstLine="484"/>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   </w:t>
      </w:r>
      <w:r/>
    </w:p>
    <w:p>
      <w:pPr>
        <w:pStyle w:val="951"/>
        <w:ind w:firstLine="480"/>
        <w:jc w:val="both"/>
        <w:spacing w:line="360" w:lineRule="auto"/>
        <w:rPr>
          <w:rFonts w:hint="default" w:cs="宋体"/>
          <w:color w:val="auto"/>
          <w:highlight w:val="none"/>
        </w:rPr>
      </w:pPr>
      <w:r>
        <w:rPr>
          <w:rFonts w:cs="宋体"/>
          <w:color w:val="auto"/>
          <w:highlight w:val="none"/>
        </w:rPr>
        <w:t xml:space="preserve">投标人（单位盖章）：</w:t>
      </w:r>
      <w:r/>
    </w:p>
    <w:p>
      <w:pPr>
        <w:pStyle w:val="951"/>
        <w:ind w:firstLine="480"/>
        <w:jc w:val="both"/>
        <w:spacing w:line="360" w:lineRule="auto"/>
        <w:rPr>
          <w:rFonts w:hint="default" w:cs="宋体"/>
          <w:color w:val="auto"/>
          <w:highlight w:val="none"/>
        </w:rPr>
      </w:pPr>
      <w:r>
        <w:rPr>
          <w:rFonts w:cs="宋体"/>
          <w:color w:val="auto"/>
          <w:highlight w:val="none"/>
        </w:rPr>
        <w:t xml:space="preserve">法定代表人（签字或盖章）：</w:t>
      </w:r>
      <w:r/>
    </w:p>
    <w:p>
      <w:pPr>
        <w:pStyle w:val="951"/>
        <w:ind w:firstLine="480"/>
        <w:jc w:val="both"/>
        <w:spacing w:line="360" w:lineRule="auto"/>
        <w:rPr>
          <w:rFonts w:hint="default" w:cs="宋体"/>
          <w:color w:val="auto"/>
          <w:highlight w:val="none"/>
        </w:rPr>
      </w:pPr>
      <w:r>
        <w:rPr>
          <w:rFonts w:cs="宋体"/>
          <w:color w:val="auto"/>
          <w:highlight w:val="none"/>
        </w:rPr>
        <w:t xml:space="preserve">代理人（签字或盖章）：</w:t>
      </w:r>
      <w:r/>
    </w:p>
    <w:p>
      <w:pPr>
        <w:pStyle w:val="951"/>
        <w:ind w:firstLine="480"/>
        <w:jc w:val="both"/>
        <w:spacing w:line="360" w:lineRule="auto"/>
        <w:rPr>
          <w:rFonts w:hint="default" w:cs="宋体"/>
          <w:color w:val="auto"/>
          <w:highlight w:val="none"/>
        </w:rPr>
      </w:pPr>
      <w:r>
        <w:rPr>
          <w:rFonts w:cs="宋体"/>
          <w:color w:val="auto"/>
          <w:highlight w:val="none"/>
        </w:rPr>
        <w:t xml:space="preserve">日 期： </w:t>
      </w:r>
      <w:r/>
    </w:p>
    <w:p>
      <w:pPr>
        <w:ind w:firstLine="525"/>
        <w:jc w:val="center"/>
        <w:spacing w:line="360" w:lineRule="auto"/>
        <w:rPr>
          <w:rFonts w:ascii="宋体" w:hAnsi="宋体"/>
          <w:color w:val="auto"/>
          <w:szCs w:val="21"/>
          <w:highlight w:val="none"/>
        </w:rPr>
      </w:pPr>
      <w:r>
        <w:rPr>
          <w:rFonts w:ascii="宋体" w:hAnsi="宋体"/>
          <w:color w:val="auto"/>
          <w:szCs w:val="21"/>
          <w:highlight w:val="none"/>
        </w:rPr>
      </w:r>
      <w:r/>
    </w:p>
    <w:p>
      <w:pPr>
        <w:pStyle w:val="911"/>
        <w:ind w:firstLine="482"/>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p>
    <w:p>
      <w:pPr>
        <w:pStyle w:val="91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eastAsia="宋体" w:cs="宋体"/>
          <w:color w:val="auto"/>
          <w:szCs w:val="24"/>
          <w:highlight w:val="none"/>
        </w:rPr>
      </w:pPr>
      <w:r>
        <w:rPr>
          <w:rFonts w:ascii="宋体" w:hAnsi="宋体" w:eastAsia="宋体" w:cs="宋体"/>
          <w:color w:val="auto"/>
          <w:szCs w:val="24"/>
          <w:highlight w:val="none"/>
        </w:rPr>
      </w:r>
      <w:r/>
    </w:p>
    <w:p>
      <w:pPr>
        <w:pStyle w:val="916"/>
        <w:rPr>
          <w:rFonts w:ascii="宋体" w:hAnsi="宋体" w:eastAsia="宋体" w:cs="宋体"/>
          <w:color w:val="auto"/>
          <w:szCs w:val="24"/>
          <w:highlight w:val="none"/>
        </w:rPr>
      </w:pPr>
      <w:r>
        <w:rPr>
          <w:rFonts w:ascii="宋体" w:hAnsi="宋体" w:eastAsia="宋体" w:cs="宋体"/>
          <w:color w:val="auto"/>
          <w:szCs w:val="24"/>
          <w:highlight w:val="none"/>
        </w:rPr>
      </w:r>
      <w:r/>
    </w:p>
    <w:p>
      <w:pPr>
        <w:pStyle w:val="911"/>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eastAsia="宋体" w:cs="宋体"/>
          <w:color w:val="auto"/>
          <w:szCs w:val="24"/>
          <w:highlight w:val="none"/>
        </w:rPr>
      </w:pPr>
      <w:r>
        <w:rPr>
          <w:rFonts w:ascii="宋体" w:hAnsi="宋体" w:eastAsia="宋体" w:cs="宋体"/>
          <w:color w:val="auto"/>
          <w:szCs w:val="24"/>
          <w:highlight w:val="none"/>
        </w:rPr>
      </w:r>
      <w:r/>
    </w:p>
    <w:p>
      <w:pPr>
        <w:pStyle w:val="916"/>
        <w:rPr>
          <w:rFonts w:ascii="宋体" w:hAnsi="宋体" w:eastAsia="宋体" w:cs="宋体"/>
          <w:color w:val="auto"/>
          <w:szCs w:val="24"/>
          <w:highlight w:val="none"/>
        </w:rPr>
      </w:pPr>
      <w:r>
        <w:rPr>
          <w:rFonts w:ascii="宋体" w:hAnsi="宋体" w:eastAsia="宋体" w:cs="宋体"/>
          <w:color w:val="auto"/>
          <w:szCs w:val="24"/>
          <w:highlight w:val="none"/>
        </w:rPr>
      </w:r>
      <w:r/>
    </w:p>
    <w:p>
      <w:pPr>
        <w:pStyle w:val="911"/>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eastAsia="宋体" w:cs="宋体"/>
          <w:color w:val="auto"/>
          <w:szCs w:val="24"/>
          <w:highlight w:val="none"/>
        </w:rPr>
      </w:pPr>
      <w:r>
        <w:rPr>
          <w:rFonts w:ascii="宋体" w:hAnsi="宋体" w:eastAsia="宋体" w:cs="宋体"/>
          <w:color w:val="auto"/>
          <w:szCs w:val="24"/>
          <w:highlight w:val="none"/>
        </w:rPr>
      </w:r>
      <w:r/>
    </w:p>
    <w:p>
      <w:pPr>
        <w:pStyle w:val="916"/>
        <w:rPr>
          <w:rFonts w:ascii="宋体" w:hAnsi="宋体" w:eastAsia="宋体" w:cs="宋体"/>
          <w:color w:val="auto"/>
          <w:szCs w:val="24"/>
          <w:highlight w:val="none"/>
        </w:rPr>
      </w:pPr>
      <w:r>
        <w:rPr>
          <w:rFonts w:ascii="宋体" w:hAnsi="宋体" w:eastAsia="宋体" w:cs="宋体"/>
          <w:color w:val="auto"/>
          <w:szCs w:val="24"/>
          <w:highlight w:val="none"/>
        </w:rPr>
      </w:r>
      <w:r/>
    </w:p>
    <w:p>
      <w:pPr>
        <w:pStyle w:val="911"/>
        <w:rPr>
          <w:rFonts w:ascii="宋体" w:hAnsi="宋体" w:eastAsia="宋体" w:cs="宋体"/>
          <w:color w:val="auto"/>
          <w:szCs w:val="24"/>
          <w:highlight w:val="none"/>
        </w:rPr>
      </w:pPr>
      <w:r>
        <w:rPr>
          <w:rFonts w:ascii="宋体" w:hAnsi="宋体" w:eastAsia="宋体" w:cs="宋体"/>
          <w:color w:val="auto"/>
          <w:szCs w:val="24"/>
          <w:highlight w:val="none"/>
        </w:rPr>
      </w:r>
      <w:r/>
    </w:p>
    <w:p>
      <w:pPr>
        <w:rPr>
          <w:rFonts w:ascii="宋体" w:hAnsi="宋体" w:eastAsia="宋体" w:cs="宋体"/>
          <w:color w:val="auto"/>
          <w:szCs w:val="24"/>
          <w:highlight w:val="none"/>
        </w:rPr>
      </w:pPr>
      <w:r>
        <w:rPr>
          <w:rFonts w:ascii="宋体" w:hAnsi="宋体" w:eastAsia="宋体" w:cs="宋体"/>
          <w:color w:val="auto"/>
          <w:szCs w:val="24"/>
          <w:highlight w:val="none"/>
        </w:rPr>
      </w:r>
      <w:r/>
    </w:p>
    <w:p>
      <w:pPr>
        <w:pStyle w:val="916"/>
        <w:rPr>
          <w:rFonts w:ascii="宋体" w:hAnsi="宋体" w:eastAsia="宋体" w:cs="宋体"/>
          <w:color w:val="auto"/>
          <w:szCs w:val="24"/>
          <w:highlight w:val="none"/>
        </w:rPr>
      </w:pPr>
      <w:r>
        <w:rPr>
          <w:rFonts w:ascii="宋体" w:hAnsi="宋体" w:eastAsia="宋体" w:cs="宋体"/>
          <w:color w:val="auto"/>
          <w:szCs w:val="24"/>
          <w:highlight w:val="none"/>
        </w:rPr>
      </w:r>
      <w:r/>
    </w:p>
    <w:p>
      <w:pPr>
        <w:pStyle w:val="911"/>
        <w:rPr>
          <w:color w:val="auto"/>
          <w:highlight w:val="none"/>
        </w:rPr>
      </w:pPr>
      <w:r>
        <w:rPr>
          <w:color w:val="auto"/>
          <w:highlight w:val="none"/>
        </w:rPr>
      </w:r>
      <w:r/>
    </w:p>
    <w:p>
      <w:pPr>
        <w:pStyle w:val="911"/>
        <w:ind w:right="420" w:firstLine="0"/>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3、关于资格文件的声明函</w:t>
      </w:r>
      <w:r/>
    </w:p>
    <w:p>
      <w:pPr>
        <w:pStyle w:val="911"/>
        <w:ind w:firstLine="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苏州正杰招投标咨询服务有限公司：</w:t>
      </w:r>
      <w:r/>
    </w:p>
    <w:p>
      <w:pPr>
        <w:pStyle w:val="91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公司愿就由贵公司组织实施的编号为_________号的采购活动进行响应。本公司所提交的商务、技术及报价文件中所有关于资格的文件、证明和陈述均是真实的、准确的和有效的。若与事实情况不符，本公司愿意承担由此而产生的一切后果。</w:t>
      </w:r>
      <w:r/>
    </w:p>
    <w:p>
      <w:pPr>
        <w:pStyle w:val="91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供应商：（单位盖章）</w:t>
      </w:r>
      <w:r/>
    </w:p>
    <w:p>
      <w:pPr>
        <w:pStyle w:val="91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11"/>
        <w:ind w:right="42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11"/>
        <w:ind w:right="420"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1041"/>
        <w:spacing w:line="360" w:lineRule="auto"/>
        <w:rPr>
          <w:rFonts w:hAnsi="宋体" w:eastAsia="宋体" w:cs="宋体"/>
          <w:color w:val="auto"/>
          <w:szCs w:val="24"/>
          <w:highlight w:val="none"/>
        </w:rPr>
      </w:pPr>
      <w:r>
        <w:rPr>
          <w:rFonts w:hAnsi="宋体" w:eastAsia="宋体" w:cs="宋体"/>
          <w:color w:val="auto"/>
          <w:szCs w:val="24"/>
          <w:highlight w:val="none"/>
        </w:rPr>
      </w:r>
      <w:r/>
    </w:p>
    <w:p>
      <w:pPr>
        <w:pStyle w:val="911"/>
        <w:ind w:right="420" w:firstLine="0"/>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4、开标一览表</w:t>
      </w:r>
      <w:r/>
    </w:p>
    <w:p>
      <w:pPr>
        <w:jc w:val="center"/>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w:t>
      </w:r>
      <w:r/>
    </w:p>
    <w:tbl>
      <w:tblPr>
        <w:tblStyle w:val="956"/>
        <w:tblW w:w="99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2462"/>
        <w:gridCol w:w="2334"/>
        <w:gridCol w:w="2900"/>
        <w:gridCol w:w="1550"/>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2"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   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4"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标段号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2"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4"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6" w:type="dxa"/>
            <w:textDirection w:val="lrTb"/>
            <w:noWrap w:val="false"/>
          </w:tcPr>
          <w:p>
            <w:pPr>
              <w:jc w:val="center"/>
              <w:spacing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r>
    </w:tbl>
    <w:p>
      <w:pPr>
        <w:spacing w:before="240" w:after="240" w:line="36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firstLine="420"/>
        <w:spacing w:line="6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供应商：（单位盖章）</w:t>
      </w:r>
      <w:r/>
    </w:p>
    <w:p>
      <w:pPr>
        <w:pStyle w:val="972"/>
        <w:rPr>
          <w:color w:val="auto"/>
          <w:highlight w:val="none"/>
        </w:rPr>
      </w:pPr>
      <w:r>
        <w:rPr>
          <w:color w:val="auto"/>
          <w:highlight w:val="none"/>
        </w:rPr>
      </w:r>
      <w:r/>
    </w:p>
    <w:p>
      <w:pPr>
        <w:ind w:firstLine="420"/>
        <w:spacing w:line="6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法定代表人或代理人：（签字或盖章）</w:t>
      </w:r>
      <w:r/>
    </w:p>
    <w:p>
      <w:pPr>
        <w:pStyle w:val="972"/>
        <w:rPr>
          <w:color w:val="auto"/>
          <w:highlight w:val="none"/>
        </w:rPr>
      </w:pPr>
      <w:r>
        <w:rPr>
          <w:color w:val="auto"/>
          <w:highlight w:val="none"/>
        </w:rPr>
      </w:r>
      <w:r/>
    </w:p>
    <w:p>
      <w:pPr>
        <w:ind w:firstLine="420"/>
        <w:spacing w:line="6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left="420" w:firstLine="420"/>
        <w:spacing w:after="120"/>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pStyle w:val="924"/>
        <w:spacing w:line="360" w:lineRule="auto"/>
        <w:rPr>
          <w:rFonts w:hAnsi="宋体" w:eastAsia="宋体" w:cs="宋体"/>
          <w:color w:val="auto"/>
          <w:sz w:val="24"/>
          <w:szCs w:val="24"/>
          <w:highlight w:val="none"/>
          <w:lang w:val="zh-CN"/>
        </w:rPr>
      </w:pPr>
      <w:r>
        <w:rPr>
          <w:rFonts w:hAnsi="宋体" w:eastAsia="宋体" w:cs="宋体"/>
          <w:color w:val="auto"/>
          <w:sz w:val="24"/>
          <w:szCs w:val="24"/>
          <w:highlight w:val="none"/>
          <w:lang w:val="zh-CN"/>
        </w:rPr>
      </w:r>
      <w:r/>
    </w:p>
    <w:p>
      <w:pPr>
        <w:pStyle w:val="1041"/>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1041"/>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1041"/>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r>
      <w:r/>
    </w:p>
    <w:p>
      <w:pPr>
        <w:pStyle w:val="911"/>
        <w:ind w:right="420" w:firstLine="0"/>
        <w:spacing w:line="360" w:lineRule="auto"/>
        <w:rPr>
          <w:rFonts w:ascii="宋体" w:hAnsi="宋体" w:eastAsia="宋体" w:cs="宋体"/>
          <w:b/>
          <w:color w:val="auto"/>
          <w:szCs w:val="24"/>
          <w:highlight w:val="none"/>
          <w:lang w:val="zh-CN"/>
        </w:rPr>
      </w:pPr>
      <w:r>
        <w:rPr>
          <w:rFonts w:hint="eastAsia" w:hAnsi="宋体" w:eastAsia="宋体" w:cs="宋体"/>
          <w:b/>
          <w:bCs/>
          <w:color w:val="auto"/>
          <w:szCs w:val="24"/>
          <w:highlight w:val="none"/>
        </w:rPr>
        <w:br w:type="page" w:clear="all"/>
      </w:r>
      <w:r>
        <w:rPr>
          <w:rFonts w:hint="eastAsia" w:ascii="宋体" w:hAnsi="宋体" w:eastAsia="宋体" w:cs="宋体"/>
          <w:b/>
          <w:bCs/>
          <w:color w:val="auto"/>
          <w:szCs w:val="24"/>
          <w:highlight w:val="none"/>
        </w:rPr>
        <w:t xml:space="preserve">5、</w:t>
      </w:r>
      <w:r>
        <w:rPr>
          <w:rFonts w:hint="eastAsia" w:ascii="宋体" w:hAnsi="宋体" w:eastAsia="宋体" w:cs="宋体"/>
          <w:b/>
          <w:bCs/>
          <w:color w:val="auto"/>
          <w:szCs w:val="24"/>
          <w:highlight w:val="none"/>
          <w:lang w:val="zh-CN"/>
        </w:rPr>
        <w:t xml:space="preserve">中小企业声明函</w:t>
      </w:r>
      <w:r/>
    </w:p>
    <w:p>
      <w:pP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苏州正杰招投标咨询服务有限公司</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lang w:val="zh-CN"/>
        </w:rPr>
        <w:t xml:space="preserve">（单位名称）</w:t>
      </w:r>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lang w:val="zh-CN"/>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（招标文件中明确的所属行业）</w:t>
      </w:r>
      <w:r>
        <w:rPr>
          <w:rFonts w:hint="eastAsia" w:ascii="宋体" w:hAnsi="宋体" w:eastAsia="宋体" w:cs="宋体"/>
          <w:color w:val="auto"/>
          <w:sz w:val="24"/>
          <w:szCs w:val="24"/>
          <w:highlight w:val="none"/>
          <w:lang w:val="zh-CN"/>
        </w:rPr>
        <w:t xml:space="preserve">；承建（承接）企业为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      （中型企业、小型企业、微型企业）</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（采购文件中明确的所属行业）</w:t>
      </w:r>
      <w:r>
        <w:rPr>
          <w:rFonts w:hint="eastAsia" w:ascii="宋体" w:hAnsi="宋体" w:eastAsia="宋体" w:cs="宋体"/>
          <w:color w:val="auto"/>
          <w:sz w:val="24"/>
          <w:szCs w:val="24"/>
          <w:highlight w:val="none"/>
          <w:lang w:val="zh-CN"/>
        </w:rPr>
        <w:t xml:space="preserve">；承建（承接）企业为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rPr>
        <w:t xml:space="preserve">________</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       （中型企业、小型企业、微型企业）</w:t>
      </w:r>
      <w:r>
        <w:rPr>
          <w:rFonts w:hint="eastAsia" w:ascii="宋体" w:hAnsi="宋体" w:eastAsia="宋体" w:cs="宋体"/>
          <w:color w:val="auto"/>
          <w:sz w:val="24"/>
          <w:szCs w:val="24"/>
          <w:highlight w:val="none"/>
          <w:lang w:val="zh-CN"/>
        </w:rPr>
        <w:t xml:space="preserve">；</w:t>
      </w:r>
      <w:r/>
    </w:p>
    <w:p>
      <w:pPr>
        <w:ind w:firstLine="7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7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7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本企业对上述声明内容的真实性负责。如有虚假，将依法承担相应责任。</w:t>
      </w:r>
      <w:r/>
    </w:p>
    <w:p>
      <w:pPr>
        <w:ind w:firstLine="49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企业名称（盖章）：</w:t>
      </w:r>
      <w:r/>
    </w:p>
    <w:p>
      <w:pPr>
        <w:ind w:firstLine="49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5、成交供应商为中小企业的，《中小企业声明函》将随成交结果同时公告。</w:t>
      </w: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附：中小企业划型标准规定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44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440" w:lineRule="exact"/>
        <w:rPr>
          <w:rFonts w:ascii="宋体" w:hAnsi="宋体" w:eastAsia="宋体" w:cs="宋体"/>
          <w:b/>
          <w:bCs/>
          <w:color w:val="auto"/>
          <w:sz w:val="24"/>
          <w:szCs w:val="24"/>
          <w:highlight w:val="none"/>
        </w:rPr>
        <w:outlineLvl w:val="0"/>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6、残疾人福利性单位声明函</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本单位对上述声明的真实性负责。如有虚假，将依法承担相应责任。</w:t>
      </w:r>
      <w:r/>
    </w:p>
    <w:p>
      <w:pPr>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11"/>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投标人（单位盖章）：</w:t>
      </w:r>
      <w:r/>
    </w:p>
    <w:p>
      <w:pPr>
        <w:pStyle w:val="911"/>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法定代表人或代理人（签字或盖章）：</w:t>
      </w:r>
      <w:r/>
    </w:p>
    <w:p>
      <w:pPr>
        <w:pStyle w:val="911"/>
        <w:ind w:right="420"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spacing w:line="440" w:lineRule="exact"/>
        <w:rPr>
          <w:rFonts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7、服务和商务偏离表</w:t>
      </w:r>
      <w:r/>
    </w:p>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服务条款偏离表</w:t>
      </w:r>
      <w:r/>
    </w:p>
    <w:p>
      <w:pPr>
        <w:spacing w:line="38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单位名称（盖章）：                      </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613"/>
        <w:gridCol w:w="1819"/>
        <w:gridCol w:w="1623"/>
        <w:gridCol w:w="1935"/>
        <w:gridCol w:w="1804"/>
      </w:tblGrid>
      <w:tr>
        <w:trPr>
          <w:trHeight w:val="6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3"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4" w:type="dxa"/>
            <w:vAlign w:val="center"/>
            <w:textDirection w:val="lrTb"/>
            <w:noWrap w:val="false"/>
          </w:tcPr>
          <w:p>
            <w:pPr>
              <w:jc w:val="cente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9"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5"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4" w:type="dxa"/>
            <w:textDirection w:val="lrTb"/>
            <w:noWrap w:val="false"/>
          </w:tcPr>
          <w:p>
            <w:pPr>
              <w:spacing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spacing w:before="240" w:after="24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响应人应对照采购文件要求，所提供的服务与采购文件的规定有偏离的，应在此表中申明与采购要求的偏差和例外。未在上表中说明的，如在响应文件其他内容中已有文字说明的，则以已有文字说明为准，否则，将被认为完全响应采购文件的规定。</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供应商：（单位盖章）</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法定代表人或代理人：（签字或盖章）</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商务条款偏离表</w:t>
      </w:r>
      <w:r/>
    </w:p>
    <w:p>
      <w:pPr>
        <w:spacing w:line="38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单位名称（盖章）：  </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2780"/>
        <w:gridCol w:w="2065"/>
        <w:gridCol w:w="1755"/>
        <w:gridCol w:w="2066"/>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80"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5"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5"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备注</w:t>
            </w:r>
            <w:r/>
          </w:p>
        </w:tc>
      </w:tr>
      <w:tr>
        <w:trPr>
          <w:trHeight w:val="3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0"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5"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6" w:type="dxa"/>
            <w:textDirection w:val="lrTb"/>
            <w:noWrap w:val="false"/>
          </w:tcPr>
          <w:p>
            <w:pP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spacing w:before="240" w:after="24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响应人的响应文件（除服务要求部分）与采购文件规定的有偏离的，应在此表中说明。未在上表中说明的，如在响应文件其他内容中已有文字说明的，则以已有文字说明为准，否则，将被认为完全响应采购文件的规定。</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供应商：（单位盖章）</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法定代表人或代理人：（签字或盖章）</w:t>
      </w:r>
      <w:r/>
    </w:p>
    <w:p>
      <w:pPr>
        <w:spacing w:before="240" w:after="240" w:line="85"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第四章 采购需求</w:t>
      </w:r>
      <w:r/>
    </w:p>
    <w:p>
      <w:pPr>
        <w:ind w:firstLine="480"/>
        <w:spacing w:line="360" w:lineRule="auto"/>
        <w:rPr>
          <w:rFonts w:ascii="宋体" w:hAnsi="宋体" w:eastAsia="宋体" w:cs="宋体"/>
          <w:color w:val="auto"/>
          <w:sz w:val="24"/>
          <w:szCs w:val="24"/>
          <w:highlight w:val="none"/>
        </w:rPr>
      </w:pPr>
      <w:r/>
      <w:bookmarkStart w:id="6" w:name="_Toc13642116"/>
      <w:r>
        <w:rPr>
          <w:rFonts w:hint="eastAsia" w:ascii="宋体" w:hAnsi="宋体" w:eastAsia="宋体" w:cs="宋体"/>
          <w:bCs/>
          <w:color w:val="auto"/>
          <w:sz w:val="24"/>
          <w:szCs w:val="24"/>
          <w:highlight w:val="none"/>
        </w:rPr>
        <w:t xml:space="preserve">苏州正杰招投标咨询服务有限公司受苏州市自然资源和规划局的委托，就其所需的</w:t>
      </w:r>
      <w:r>
        <w:rPr>
          <w:rFonts w:hint="eastAsia" w:ascii="宋体" w:hAnsi="宋体" w:eastAsia="宋体" w:cs="宋体"/>
          <w:color w:val="auto"/>
          <w:sz w:val="24"/>
          <w:szCs w:val="24"/>
          <w:highlight w:val="none"/>
        </w:rPr>
        <w:t xml:space="preserve">2025年永久基本农田调整补划方案地块外业现场踏勘和内业数据分析项目</w:t>
      </w:r>
      <w:r>
        <w:rPr>
          <w:rFonts w:hint="eastAsia" w:ascii="宋体" w:hAnsi="宋体" w:eastAsia="宋体" w:cs="宋体"/>
          <w:bCs/>
          <w:color w:val="auto"/>
          <w:sz w:val="24"/>
          <w:szCs w:val="24"/>
          <w:highlight w:val="none"/>
        </w:rPr>
        <w:t xml:space="preserve">以竞争性磋商方式组织政府采购，欢迎符合条件的供应商参加</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一、采购编号：</w:t>
      </w:r>
      <w:r>
        <w:rPr>
          <w:rFonts w:hint="eastAsia" w:ascii="宋体" w:hAnsi="宋体" w:eastAsia="宋体" w:cs="宋体"/>
          <w:b/>
          <w:bCs/>
          <w:color w:val="auto"/>
          <w:sz w:val="24"/>
          <w:szCs w:val="24"/>
          <w:highlight w:val="none"/>
          <w:lang w:eastAsia="zh-CN"/>
        </w:rPr>
        <w:t xml:space="preserve">JSZC-320500-SZZJ-C2025-0061</w:t>
      </w:r>
      <w:r>
        <w:rPr>
          <w:rFonts w:hint="eastAsia" w:ascii="宋体" w:hAnsi="宋体" w:eastAsia="宋体" w:cs="宋体"/>
          <w:b/>
          <w:bCs/>
          <w:color w:val="auto"/>
          <w:sz w:val="24"/>
          <w:szCs w:val="24"/>
          <w:highlight w:val="none"/>
        </w:rPr>
        <w:t xml:space="preserve">号。</w:t>
      </w:r>
      <w:r/>
    </w:p>
    <w:p>
      <w:pPr>
        <w:ind w:firstLine="482"/>
        <w:spacing w:line="360" w:lineRule="auto"/>
        <w:tabs>
          <w:tab w:val="left" w:pos="567"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二、采购需求：</w:t>
      </w:r>
      <w:bookmarkEnd w:id="6"/>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2025年永久基本农田调整补划方案地块外业现场踏勘和内业数据分析。</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标段一：(张家港市、常熟市、相城区、高新区、姑苏区)。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标段二：(太仓市、昆山市、吴江区、吴中区、工业园区)。</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具体内容如下：（各标段均适用）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（一）采购需求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1.根据《永久基本农田保护红线管理办法》等文件要求，对各地上报的永久基本农田调整补划方案，开展内业数据分析和外业踏勘核查等工作，确保调入调出地块均符合相关要求。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2.开展内业合规性、合理性、可行性分析，核查永久基本农田调出地块是否符合文件规定的情形，调入地块是否合规。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抽查一定比例的地块外业现场踏勘，并通过无人机正射影像或者国土调查云等完成拍摄举证。所有踏勘地块均采用无人机+国土调查云等形式进行正射0.2米影像拍摄。如地块位于禁飞区，则每个地块至少拍摄3张以上不同角度的实地照片，照片在明显拐点处拍摄，能完整反映地块实地情况。</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4.内业制作图件，按照项目分类，整理地块照片，依据地块实际情况完成踏勘情况记录表，详细记录地块现状是否符合要求，是否真实有效，形成项目踏勘报告。</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5.协调市级方案编制，汇总各地方案中的数据，并使用AICGIS等软件进行处理分析汇总；协助市局成果上报和流转，对接</w:t>
      </w:r>
      <w:r>
        <w:rPr>
          <w:rFonts w:hint="eastAsia" w:ascii="宋体" w:hAnsi="宋体" w:eastAsia="宋体" w:cs="宋体"/>
          <w:bCs/>
          <w:color w:val="auto"/>
          <w:sz w:val="24"/>
          <w:szCs w:val="24"/>
          <w:highlight w:val="none"/>
          <w:lang w:eastAsia="zh-CN"/>
        </w:rPr>
        <w:t xml:space="preserve">省级部门</w:t>
      </w:r>
      <w:r>
        <w:rPr>
          <w:rFonts w:hint="eastAsia" w:ascii="宋体" w:hAnsi="宋体" w:eastAsia="宋体" w:cs="宋体"/>
          <w:bCs/>
          <w:color w:val="auto"/>
          <w:sz w:val="24"/>
          <w:szCs w:val="24"/>
          <w:highlight w:val="none"/>
        </w:rPr>
        <w:t xml:space="preserve">技术审查，完善成果，完成备案。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6.配合甲方完成踏勘项目相关材料归档工作、数据整理汇总，以及其他协助工作。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（二）项目人员配备要求</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在项目实施期间，承担单位须为本项目配备1名项目负责人，项目负责人必须是项目实际组织者和指导者；同时组建的项目组成员（不包括项目负责人）不</w:t>
      </w:r>
      <w:r>
        <w:rPr>
          <w:rFonts w:hint="eastAsia" w:ascii="宋体" w:hAnsi="宋体" w:eastAsia="宋体" w:cs="宋体"/>
          <w:bCs/>
          <w:color w:val="auto"/>
          <w:sz w:val="24"/>
          <w:szCs w:val="24"/>
          <w:highlight w:val="none"/>
          <w:lang w:val="en-US" w:eastAsia="zh-CN"/>
        </w:rPr>
        <w:t xml:space="preserve">少</w:t>
      </w:r>
      <w:r>
        <w:rPr>
          <w:rFonts w:hint="eastAsia" w:ascii="宋体" w:hAnsi="宋体" w:eastAsia="宋体" w:cs="宋体"/>
          <w:bCs/>
          <w:color w:val="auto"/>
          <w:sz w:val="24"/>
          <w:szCs w:val="24"/>
          <w:highlight w:val="none"/>
        </w:rPr>
        <w:t xml:space="preserve">于5名；服务期间，未经采购方同意，不得更换项目负责人；具体项目组人员安排，按照工作进度、工作量要求和采购方要求科学配备</w:t>
      </w:r>
      <w:r>
        <w:rPr>
          <w:rFonts w:hint="eastAsia" w:ascii="宋体" w:hAnsi="宋体" w:eastAsia="宋体" w:cs="宋体"/>
          <w:bCs/>
          <w:color w:val="auto"/>
          <w:sz w:val="24"/>
          <w:szCs w:val="24"/>
          <w:highlight w:val="none"/>
          <w:lang w:eastAsia="zh-CN"/>
        </w:rPr>
        <w:t xml:space="preserve">，且与响应文件承诺的人员资质保持一致。</w:t>
      </w:r>
      <w:r/>
    </w:p>
    <w:p>
      <w:pPr>
        <w:ind w:firstLine="482"/>
        <w:spacing w:line="360" w:lineRule="auto"/>
        <w:tabs>
          <w:tab w:val="left" w:pos="567"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三、有关说明：</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实施质量必须严格按照国家规范及江苏省、苏州市相应地方规范、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2、供应商须在项目实施前把详细的实施方案报送采购人审批，经批准同意后方可以组织实施。在项目实施期间供应商应遵守项目现场及采购人的各项规章制度。</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3、供应商在项目实施期间应无条件的接受采购人的监督管理，提出的质量问题要及时整改，整改完毕后通知采购人检查验收，合格后书面报送采购人备案。</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人使用供应商的货物、技术、资料、服务或其他任何一部分时，享有无偿使用权，并免受第三方提出的侵犯其专利权、著作权、商标权或其他知识产权的起诉。如果任何第三方提出侵权指控，成交单位须与第三方交涉，并承担由此而产生的索赔、损失、损害、支出等一切费用（含律师费）。如采购人因此而遭致损失的，成交单位应赔偿该损失（包括但不限于由此产生的索赔、损失、损害、支出、律师费、调查费等一切费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5、与本次采购项目有关的质量、安全问题均由供应商负责，相关的人员、财产责任风险均由供应商承担。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次采购人拟采购的产品均不属于《节能产品政府采购品目清单》范围内的政府强制采购产品，也均不属于《节能产品政府采购品目清单》、《环境标志产品政府采购品目清单》范围内优先采购的产品（不包含政府强制采购产品）。</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产品如属于国家认证认可监督管理委员会现行《强制性产品认证目录描述与界定表》管理的强制性认证产品，供应商在提请采购人验收时须提供上述产品的对应证书，否则采购人有权不予验收，且供应商应承担由此而引起的一切法律责任和费用。</w:t>
      </w:r>
      <w:r/>
    </w:p>
    <w:p>
      <w:pPr>
        <w:ind w:firstLine="482"/>
        <w:spacing w:line="360" w:lineRule="auto"/>
        <w:tabs>
          <w:tab w:val="left" w:pos="567" w:leader="none"/>
        </w:tabs>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四、综合要求：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、响应文件须如实进行响应，量化指标必须列明具体数值。供应商在其响应文件中对于采购文件要求提供的货物或服务情况均须进行完整的阐述和说明。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、供应商提供的响应文件内容须真实、准确、有效，如提供虚假材料或对采购文件所要求说明的情况故意隐瞒或虚报，视为不实质性响应采购要求，其响应文件将被拒绝。已中标的将取消中标资格。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、供应商须在响应报价中对所要采购的全部内容进行报价，只投其中部分内容者，其响应文件将被拒绝，采购人除支付本次采购项目的成交金额外不再承担其他任何费用。</w:t>
      </w:r>
      <w:r/>
    </w:p>
    <w:p>
      <w:pPr>
        <w:ind w:firstLine="51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、项目地点：采购人指定地点（苏州大市范围内）。</w:t>
      </w:r>
      <w:r/>
    </w:p>
    <w:p>
      <w:pPr>
        <w:pStyle w:val="1010"/>
        <w:ind w:firstLine="480"/>
        <w:spacing w:line="360" w:lineRule="auto"/>
        <w:tabs>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、服务要求：</w:t>
      </w:r>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rPr>
        <w:t xml:space="preserve">在接到采购人修正报告的服务要求时，须及时响应和解决。在</w:t>
      </w:r>
      <w:r>
        <w:rPr>
          <w:rFonts w:hint="eastAsia" w:ascii="宋体" w:hAnsi="宋体" w:eastAsia="宋体" w:cs="宋体"/>
          <w:color w:val="auto"/>
          <w:sz w:val="24"/>
          <w:szCs w:val="24"/>
          <w:highlight w:val="none"/>
          <w:lang w:val="zh-CN"/>
        </w:rPr>
        <w:t xml:space="preserve">2小时内必须响应（电话或远程服务），紧急情况下按照采购人需求，予以修正和解决采购人提出的服务要求。</w:t>
      </w:r>
      <w:r/>
    </w:p>
    <w:p>
      <w:pPr>
        <w:ind w:firstLine="51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、验收要求：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验收时间：</w:t>
      </w:r>
      <w:r>
        <w:rPr>
          <w:rFonts w:hint="eastAsia" w:ascii="宋体" w:hAnsi="宋体" w:eastAsia="宋体" w:cs="宋体"/>
          <w:color w:val="auto"/>
          <w:sz w:val="24"/>
          <w:highlight w:val="none"/>
          <w:lang w:val="en-US" w:eastAsia="zh-CN"/>
        </w:rPr>
        <w:t xml:space="preserve">合同期内，所有依申请项目全部结项后</w:t>
      </w:r>
      <w:r>
        <w:rPr>
          <w:rFonts w:hint="eastAsia" w:ascii="宋体" w:hAnsi="宋体" w:eastAsia="宋体" w:cs="宋体"/>
          <w:color w:val="auto"/>
          <w:sz w:val="24"/>
          <w:highlight w:val="none"/>
        </w:rPr>
        <w:t xml:space="preserve">，甲方5个工作日内启动履约验收程序。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验收内容：包括服务质量、服务进度、人员和设备配备情况、行业和安全标准、项目需求和服务承诺、合同履约时间地点和方式等。</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验收标准：按照国家、省市出台的相关文件标准执行。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验收方式为书面审核。</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甲方是履约验收工作的责任主体，成立验收小组负责采购项目履约验收具体工作。乙方参照验收内容，书面提供工作报告、附加增值服务（如有）及其合规性、完整性等材料。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履约验收合格后，根据本合同约定进行结算；存在异议的，甲乙双方协商解决，或通过法律途径解决。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任一项验收不合格的，乙方应负责在甲方限定的期限内完成整改，因整改而导致的费用和损失由乙方自行承担，若导致项目逾期的，乙方承担逾期违约责任。</w:t>
      </w:r>
      <w:r/>
    </w:p>
    <w:p>
      <w:pPr>
        <w:ind w:firstLine="51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、凡涉及本项目的补充说明和修改，均以苏州政府采购网上发布的信息为准。</w:t>
      </w:r>
      <w:r/>
    </w:p>
    <w:p>
      <w:pPr>
        <w:pStyle w:val="916"/>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6"/>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6"/>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6"/>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6"/>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6"/>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1"/>
        <w:rPr>
          <w:rFonts w:ascii="宋体" w:hAnsi="宋体" w:eastAsia="宋体" w:cs="宋体"/>
          <w:b/>
          <w:bCs/>
          <w:color w:val="auto"/>
          <w:szCs w:val="24"/>
          <w:highlight w:val="none"/>
        </w:rPr>
      </w:pPr>
      <w:r>
        <w:rPr>
          <w:rFonts w:ascii="宋体" w:hAnsi="宋体" w:eastAsia="宋体" w:cs="宋体"/>
          <w:b/>
          <w:bCs/>
          <w:color w:val="auto"/>
          <w:szCs w:val="24"/>
          <w:highlight w:val="none"/>
        </w:rPr>
      </w:r>
      <w:r/>
    </w:p>
    <w:p>
      <w:pP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897"/>
        <w:rPr>
          <w:rFonts w:eastAsia="宋体" w:cs="宋体"/>
          <w:bCs/>
          <w:color w:val="auto"/>
          <w:sz w:val="24"/>
          <w:szCs w:val="24"/>
          <w:highlight w:val="none"/>
        </w:rPr>
      </w:pPr>
      <w:r>
        <w:rPr>
          <w:rFonts w:eastAsia="宋体" w:cs="宋体"/>
          <w:bCs/>
          <w:color w:val="auto"/>
          <w:sz w:val="24"/>
          <w:szCs w:val="24"/>
          <w:highlight w:val="none"/>
        </w:rPr>
      </w:r>
      <w:r/>
    </w:p>
    <w:p>
      <w:pP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897"/>
        <w:rPr>
          <w:rFonts w:eastAsia="宋体" w:cs="宋体"/>
          <w:bCs/>
          <w:color w:val="auto"/>
          <w:sz w:val="24"/>
          <w:szCs w:val="24"/>
          <w:highlight w:val="none"/>
        </w:rPr>
      </w:pPr>
      <w:r>
        <w:rPr>
          <w:rFonts w:eastAsia="宋体" w:cs="宋体"/>
          <w:bCs/>
          <w:color w:val="auto"/>
          <w:sz w:val="24"/>
          <w:szCs w:val="24"/>
          <w:highlight w:val="none"/>
        </w:rPr>
      </w:r>
      <w:r/>
    </w:p>
    <w:p>
      <w:pP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897"/>
        <w:rPr>
          <w:rFonts w:eastAsia="宋体" w:cs="宋体"/>
          <w:bCs/>
          <w:color w:val="auto"/>
          <w:sz w:val="24"/>
          <w:szCs w:val="24"/>
          <w:highlight w:val="none"/>
        </w:rPr>
      </w:pPr>
      <w:r>
        <w:rPr>
          <w:rFonts w:eastAsia="宋体" w:cs="宋体"/>
          <w:bCs/>
          <w:color w:val="auto"/>
          <w:sz w:val="24"/>
          <w:szCs w:val="24"/>
          <w:highlight w:val="none"/>
        </w:rPr>
      </w:r>
      <w:r/>
    </w:p>
    <w:p>
      <w:pP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897"/>
        <w:rPr>
          <w:rFonts w:eastAsia="宋体" w:cs="宋体"/>
          <w:bCs/>
          <w:color w:val="auto"/>
          <w:sz w:val="24"/>
          <w:szCs w:val="24"/>
          <w:highlight w:val="none"/>
        </w:rPr>
      </w:pPr>
      <w:r>
        <w:rPr>
          <w:rFonts w:eastAsia="宋体" w:cs="宋体"/>
          <w:bCs/>
          <w:color w:val="auto"/>
          <w:sz w:val="24"/>
          <w:szCs w:val="24"/>
          <w:highlight w:val="none"/>
        </w:rPr>
      </w:r>
      <w:r/>
    </w:p>
    <w:p>
      <w:pP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897"/>
        <w:rPr>
          <w:rFonts w:eastAsia="宋体" w:cs="宋体"/>
          <w:bCs/>
          <w:color w:val="auto"/>
          <w:sz w:val="24"/>
          <w:szCs w:val="24"/>
          <w:highlight w:val="none"/>
        </w:rPr>
      </w:pPr>
      <w:r>
        <w:rPr>
          <w:rFonts w:eastAsia="宋体" w:cs="宋体"/>
          <w:bCs/>
          <w:color w:val="auto"/>
          <w:sz w:val="24"/>
          <w:szCs w:val="24"/>
          <w:highlight w:val="none"/>
        </w:rPr>
      </w:r>
      <w:r/>
    </w:p>
    <w:p>
      <w:pP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897"/>
        <w:rPr>
          <w:rFonts w:eastAsia="宋体" w:cs="宋体"/>
          <w:bCs/>
          <w:color w:val="auto"/>
          <w:sz w:val="24"/>
          <w:szCs w:val="24"/>
          <w:highlight w:val="none"/>
        </w:rPr>
      </w:pPr>
      <w:r>
        <w:rPr>
          <w:rFonts w:eastAsia="宋体" w:cs="宋体"/>
          <w:bCs/>
          <w:color w:val="auto"/>
          <w:sz w:val="24"/>
          <w:szCs w:val="24"/>
          <w:highlight w:val="none"/>
        </w:rPr>
      </w:r>
      <w:r/>
    </w:p>
    <w:p>
      <w:pPr>
        <w:pStyle w:val="916"/>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16"/>
        <w:jc w:val="center"/>
        <w:spacing w:line="360" w:lineRule="auto"/>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第五章 合同主要条款（各标段均适用）</w:t>
      </w:r>
      <w: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                       </w:t>
      </w:r>
      <w:r/>
    </w:p>
    <w:p>
      <w:pP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项目编号：</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甲方（项目采购人）：</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rPr>
        <w:tab/>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乙方（成交供应商）：</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rPr>
        <w:tab/>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pStyle w:val="972"/>
        <w:rPr>
          <w:color w:val="auto"/>
          <w:highlight w:val="none"/>
        </w:rPr>
      </w:pP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项目(项目名称)经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竞争性磋商方式进行采购，并依法确定乙方为成交供应商。根据《中华人民共和国民法典》和《中华人民共和国政府采购法》等有关法律法规，为明确采购人（甲方）和成交供应商（乙方）采购过程中的权利、义务和经济责任，双方遵循平等、自愿、公平和诚实信用原则，经友好协商，同意按照下面的条款和条件订立本合同，以资共同遵守。</w:t>
      </w:r>
      <w:r/>
    </w:p>
    <w:p>
      <w:pPr>
        <w:numPr>
          <w:ilvl w:val="0"/>
          <w:numId w:val="6"/>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项目名称：2025年永久基本农田调整补划方案地块外业现场踏勘和内业数据分析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标段一：(张家港市、常熟市、相城区、高新区、姑苏区)。 </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标段二：(太仓市、昆山市、吴江区、吴中区、工业园区)。</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二、下列文件为本合同不可分割部分：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（二）磋商响应文件和乙方中标的响应文件；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（三）合同条款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（四）乙方在招投标过程中所作的其它承诺、声明、书面澄清等。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（五）确定成交供应商的文件（包括但不限于成交通知书等）；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（六）本合同附件（若有）。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三、服务时间和合同金额：</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服务时间：合同签订之日起1年。</w:t>
      </w:r>
      <w:r/>
    </w:p>
    <w:p>
      <w:pPr>
        <w:ind w:firstLine="480"/>
        <w:spacing w:line="360" w:lineRule="auto"/>
        <w:widowControl/>
        <w:tabs>
          <w:tab w:val="left" w:pos="420" w:leader="none"/>
          <w:tab w:val="left" w:pos="54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2、合同金额为人民币（大写）：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元），包括</w:t>
      </w:r>
      <w:r>
        <w:rPr>
          <w:rFonts w:hint="eastAsia" w:ascii="宋体" w:hAnsi="宋体" w:eastAsia="宋体" w:cs="宋体"/>
          <w:color w:val="auto"/>
          <w:sz w:val="24"/>
          <w:szCs w:val="24"/>
          <w:highlight w:val="none"/>
          <w:lang w:val="zh-CN"/>
        </w:rPr>
        <w:t xml:space="preserve">完成所有采购内容以及本项目所需的人工费、通讯费、交通费、资料费、研究报告及编制费（包含印刷费）、咨询费、后续评审服务费、成交服务费、保险、配套费用、税费及服务相关等所发生的全部费用以及企业利润、税金和政策性文件规定及合同包含的所有风险、责任等完成本项目的各项应有费用</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四、合同价款的支付及付款方式：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1、支付步骤：合同生效后60日内，甲方向乙方支付合同价格的</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%作为预付款；</w:t>
      </w:r>
      <w:r>
        <w:rPr>
          <w:rFonts w:hint="eastAsia" w:ascii="宋体" w:hAnsi="宋体" w:eastAsia="宋体" w:cs="宋体"/>
          <w:color w:val="auto"/>
          <w:sz w:val="24"/>
          <w:szCs w:val="24"/>
          <w:highlight w:val="none"/>
          <w:lang w:val="en-US" w:eastAsia="zh-CN"/>
        </w:rPr>
        <w:t xml:space="preserve">项目完成</w:t>
      </w:r>
      <w:r>
        <w:rPr>
          <w:rFonts w:hint="eastAsia" w:ascii="宋体" w:hAnsi="宋体" w:eastAsia="宋体" w:cs="宋体"/>
          <w:color w:val="auto"/>
          <w:sz w:val="24"/>
          <w:szCs w:val="24"/>
          <w:highlight w:val="none"/>
        </w:rPr>
        <w:t xml:space="preserve">，提交全部工作成果并通过履约验收后</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日内，支付剩余合同金额。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2、甲方除支付上述费用外不再承担其它任何费用（包括个人），服务人员的薪金、福利、休假日补贴等由乙方给付，与甲方无关。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3、乙方要求付款之前应提供合格的发票，否则甲方有权拒付</w:t>
      </w:r>
      <w:r>
        <w:rPr>
          <w:rFonts w:hint="eastAsia" w:ascii="宋体" w:hAnsi="宋体" w:eastAsia="宋体" w:cs="宋体"/>
          <w:color w:val="auto"/>
          <w:sz w:val="24"/>
          <w:szCs w:val="24"/>
          <w:highlight w:val="none"/>
          <w:lang w:eastAsia="zh-CN"/>
        </w:rPr>
        <w:t xml:space="preserve">，因此导致的迟延付款，甲方不构成违约</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4、付款方式：银行汇票或转账。</w:t>
      </w:r>
      <w:r/>
    </w:p>
    <w:p>
      <w:pPr>
        <w:ind w:firstLine="48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受托方收款账户： </w:t>
      </w:r>
      <w:r/>
    </w:p>
    <w:p>
      <w:pPr>
        <w:ind w:firstLine="48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单位名称： </w:t>
      </w:r>
      <w:r/>
    </w:p>
    <w:p>
      <w:pPr>
        <w:ind w:firstLine="48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开户银行：  </w:t>
      </w:r>
      <w:r/>
    </w:p>
    <w:p>
      <w:pPr>
        <w:ind w:firstLine="48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银行账号：  </w:t>
      </w:r>
      <w:r/>
    </w:p>
    <w:p>
      <w:pPr>
        <w:ind w:firstLine="48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数字人民币账号：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5、根据国家现行税法对甲方征收的与本合同有关的税费均由甲方承担；根据国家现行税法对乙方征收的与本合同有关的一切税费均由乙方承担。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五、采购需求：详见招标文件</w:t>
      </w:r>
      <w:r>
        <w:rPr>
          <w:rFonts w:hint="eastAsia" w:ascii="宋体" w:hAnsi="宋体" w:eastAsia="宋体" w:cs="宋体"/>
          <w:color w:val="auto"/>
          <w:sz w:val="24"/>
          <w:szCs w:val="24"/>
          <w:highlight w:val="none"/>
        </w:rPr>
        <w:t xml:space="preserve">及磋商文件要求</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乙方</w:t>
      </w:r>
      <w:r>
        <w:rPr>
          <w:rFonts w:hint="eastAsia" w:ascii="宋体" w:hAnsi="宋体" w:eastAsia="宋体" w:cs="宋体"/>
          <w:b/>
          <w:bCs/>
          <w:color w:val="auto"/>
          <w:sz w:val="24"/>
          <w:szCs w:val="24"/>
          <w:highlight w:val="none"/>
        </w:rPr>
        <w:t xml:space="preserve">服务质量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1、乙方应保证提供给甲方的服务完全符合本项目采购文件规定的服务标准。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2、乙方应保证提供的服务应符合中华人民共和国相关标准及相应的技术规范、本次采购相关文件中的全部相关要求及相关标准及相应的技术规范中之较高者。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3、乙方保证提供的服务符合中华人民共和国国家及行业的安全质量标准、环保标准中之较高者。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须保障甲方在使用该服务或其任何一部分时不受到第三方关于侵犯专利权、商标权等知识产权的指控。如果任何第三方提出侵权指控，乙方须与第三方交涉，并承担由此而产生的索赔、损失、损害、支出等一切费用（含律师费）。</w:t>
      </w:r>
      <w:r>
        <w:rPr>
          <w:rFonts w:hint="eastAsia" w:ascii="宋体" w:hAnsi="宋体" w:eastAsia="宋体" w:cs="宋体"/>
          <w:color w:val="auto"/>
          <w:sz w:val="24"/>
          <w:szCs w:val="24"/>
          <w:highlight w:val="none"/>
          <w:lang w:eastAsia="zh-CN"/>
        </w:rPr>
        <w:t xml:space="preserve">由此给甲方</w:t>
      </w:r>
      <w:r>
        <w:rPr>
          <w:rFonts w:hint="eastAsia" w:ascii="宋体" w:hAnsi="宋体" w:eastAsia="宋体" w:cs="宋体"/>
          <w:color w:val="auto"/>
          <w:sz w:val="24"/>
          <w:szCs w:val="24"/>
          <w:highlight w:val="none"/>
        </w:rPr>
        <w:t xml:space="preserve">遭致损失的，乙方应赔偿该损失（包括但不限于由此产生的索赔、损失、损害、支出、律师费、调查费等一切费用）。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应落实各项安全生产规定，做好安全生产培训，人员在工作期间所产生的一切劳资、工伤纠纷及各类安全事故，皆由乙方全权负责并承担，与甲方不发生任何关系。若因乙方未遵守国家及地方有关安全生产的法律、法规、规章、标准和规范，或未履行安全生产管理职责、未落实安全生产保障措施等原因，导致出现任何安全生产问题均由乙方承担全部责任，与甲方无关。乙方应承担因安全生产问题产生的一切直接和间接经济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7、乙方保证合同履行过程中，乙方原因致使第三人（包括但不限于甲方工作人员、乙方工作人员及其他任意第三人）遭受人身损害、财产损失的，均由乙方负责处理并承担全部赔偿责任。</w:t>
      </w:r>
      <w:r>
        <w:rPr>
          <w:rFonts w:hint="eastAsia" w:ascii="宋体" w:hAnsi="宋体" w:eastAsia="宋体" w:cs="宋体"/>
          <w:color w:val="auto"/>
          <w:sz w:val="24"/>
          <w:szCs w:val="24"/>
          <w:highlight w:val="none"/>
          <w:lang w:eastAsia="zh-CN"/>
        </w:rPr>
        <w:t xml:space="preserve">由此给甲方</w:t>
      </w:r>
      <w:r>
        <w:rPr>
          <w:rFonts w:hint="eastAsia" w:ascii="宋体" w:hAnsi="宋体" w:eastAsia="宋体" w:cs="宋体"/>
          <w:color w:val="auto"/>
          <w:sz w:val="24"/>
          <w:szCs w:val="24"/>
          <w:highlight w:val="none"/>
        </w:rPr>
        <w:t xml:space="preserve">遭致损失的，乙方应赔偿该损失</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8、项目团队人员资质要求：乙方承诺项目实际履约人员与响应文件中提供的人员资质相符。</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验收时间：</w:t>
      </w:r>
      <w:r>
        <w:rPr>
          <w:rFonts w:hint="eastAsia" w:ascii="宋体" w:hAnsi="宋体" w:eastAsia="宋体" w:cs="宋体"/>
          <w:color w:val="auto"/>
          <w:sz w:val="24"/>
          <w:szCs w:val="24"/>
          <w:highlight w:val="none"/>
          <w:lang w:val="en-US" w:eastAsia="zh-CN"/>
        </w:rPr>
        <w:t xml:space="preserve">合同期内，所有依申请项目全部结项后</w:t>
      </w:r>
      <w:r>
        <w:rPr>
          <w:rFonts w:hint="eastAsia" w:ascii="宋体" w:hAnsi="宋体" w:eastAsia="宋体" w:cs="宋体"/>
          <w:color w:val="auto"/>
          <w:sz w:val="24"/>
          <w:szCs w:val="24"/>
          <w:highlight w:val="none"/>
        </w:rPr>
        <w:t xml:space="preserve">，甲方5个工作日内启动履约验收程序。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验收内容：包括服务质量、服务进度、人员和设备配备情况、行业和安全标准、项目需求和服务承诺、合同履约时间地点和方式等。</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验收标准：按照国家、省市出台的相关文件标准执行。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验收方式为书面审核。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甲方是履约验收工作的责任主体，成立验收小组负责采购项目履约验收具体工作。乙方参照验收内容，书面提供工作报告、附加增值服务（如有）及其合规性、完整性等材料。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履约验收合格后，根据本合同约定进行结算；存在异议的，甲乙双方协商解决，或通过法律途径解决。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任一项验收不合格的，乙方应负责在甲方限定的期限内完成整改，因整改而导致的费用和损失由乙方自行承担，若导致项目逾期的，乙方承担逾期违约责任。</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七、项目保密要求及知识产权</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保密要求</w:t>
      </w:r>
      <w:r>
        <w:rPr>
          <w:rFonts w:hint="eastAsia" w:ascii="宋体" w:hAnsi="宋体" w:eastAsia="宋体" w:cs="宋体"/>
          <w:b/>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1、乙方及其工作人员在工作期间必须遵守甲方的相关保密</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，必须保证档案内容与档案载体、信息数据的安全和保密。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2、乙方在工作中必须与甲方做好档案材料及数据的安全交接。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3、项目所涉及的各种档案信息数据、影像、资料所有权归属甲方，所有信息数据、纸质资料、影像资料、存储介质资料及各种清单等在项目结束时必须移交甲方。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4、乙方及工作人员不得私自以任何形式将档案资料带出指定工作现场。不得以任何形式对档案内容及信息进行复制、泄漏、传播。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以上保密规定如有违反，甲方有权追究乙方相关法律责任。乙方及其工作人员违反保密要求的，甲方有权立即单方解除合同，乙方退还甲方全部款项，并支付甲方合同总金额30%违约金，违约金不足以补偿甲方损失的，乙方仍应补偿甲方所受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知识产权：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1、乙方保证所提供的服务与交付的项目或文件不存在任何权利瑕疵，包括但不限于知识产权瑕疵等。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2、双方履行本协议过程中形成的项目成果（含阶段性成果、数据、报告等）的知识产权（包括但不限于著作权、专利申请权等）及相关权益</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全部归属于甲方所有。未经甲方书面同意，乙方不得以任何形式向任何第三方披露。</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八、安全生产：</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成交单位应根据《测绘作业人员安全规范》(CH 1016-2008)的要求，严格执行各项安全生产规定，落实安全生产责任制度，制定和完善安全保障与应急预案，完善安全生产条件，加强对作业人员的安全生产知识教育培训，确保作业人员的人身财产安全和调查工作的安全顺利开展。若因乙方未遵守国家及地方有关安全生产的法律、法规、规章、标准和规范，或未履行安全生产管理职责、未落实安全生产保障措施等原因，及其他原因导致出现任何安全生产问题均由乙方承担全部责任，与甲方无关。乙方应承担因安全生产问题产生的一切直接和间接经济损失。</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1、甲方违约责任及违约金支付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1.1甲方无故逾期付款的，应以逾期未付款项为计算基数，自逾期之日起，按照</w:t>
      </w:r>
      <w:r>
        <w:rPr>
          <w:rFonts w:hint="eastAsia" w:ascii="宋体" w:hAnsi="宋体" w:eastAsia="宋体" w:cs="宋体"/>
          <w:color w:val="auto"/>
          <w:sz w:val="24"/>
          <w:szCs w:val="24"/>
          <w:highlight w:val="none"/>
          <w:lang w:eastAsia="zh-CN"/>
        </w:rPr>
        <w:t xml:space="preserve">合同订立时</w:t>
      </w:r>
      <w:r>
        <w:rPr>
          <w:rFonts w:hint="eastAsia" w:ascii="宋体" w:hAnsi="宋体" w:eastAsia="宋体" w:cs="宋体"/>
          <w:color w:val="auto"/>
          <w:sz w:val="24"/>
          <w:szCs w:val="24"/>
          <w:highlight w:val="none"/>
        </w:rPr>
        <w:t xml:space="preserve">全国银行间同业拆借中心受权公布1年期贷款市场报价利率（LPR）的标准，向乙方支付逾期付款利息损失，但逾期付款利息损失总额不超过逾期付款金额的5%。</w:t>
      </w:r>
      <w:r>
        <w:rPr>
          <w:rFonts w:hint="eastAsia" w:ascii="宋体" w:hAnsi="宋体" w:eastAsia="宋体" w:cs="宋体"/>
          <w:color w:val="auto"/>
          <w:sz w:val="24"/>
          <w:szCs w:val="24"/>
          <w:highlight w:val="none"/>
          <w:lang w:val="zh-CN"/>
        </w:rPr>
        <w:t xml:space="preserve">如因财政资金的下达、拨付问题导致付款延迟的，不视为甲方违约，乙方不能据此追究甲方的违约责任。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2、乙方违约责任及违约金支付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乙方不能按约履行或履行不满足合同要求的，经甲方催告后未在催告时间内提供符合约定服务的，甲方有权单方解除合同，乙方应退还已付款项，向甲方偿付合同价款30%的违约金，违约金不足以补偿损失的，甲方有权要求乙方补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乙方违反保密要求的，甲方有权立即单方解除合同，乙方退还甲方全部款项，并支付甲方合同总金额30%违约金，违约金不足以补偿甲方损失的，乙方仍应补偿甲方所受损失。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2.3乙方逾期交付的，每逾期一天，应以本合同金额为计算基数，自逾期之日起，按照</w:t>
      </w:r>
      <w:r>
        <w:rPr>
          <w:rFonts w:hint="eastAsia" w:ascii="宋体" w:hAnsi="宋体" w:eastAsia="宋体" w:cs="宋体"/>
          <w:color w:val="auto"/>
          <w:sz w:val="24"/>
          <w:szCs w:val="24"/>
          <w:highlight w:val="none"/>
          <w:lang w:eastAsia="zh-CN"/>
        </w:rPr>
        <w:t xml:space="preserve">合同订立时</w:t>
      </w:r>
      <w:r>
        <w:rPr>
          <w:rFonts w:hint="eastAsia" w:ascii="宋体" w:hAnsi="宋体" w:eastAsia="宋体" w:cs="宋体"/>
          <w:color w:val="auto"/>
          <w:sz w:val="24"/>
          <w:szCs w:val="24"/>
          <w:highlight w:val="none"/>
        </w:rPr>
        <w:t xml:space="preserve">全国银行间同业拆借中心受权公布1年期贷款市场报价利率（LPR）的标准，向甲方支付逾期交付违约金，直至甲方验收合格之日。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乙方必须自己完成合同内容，不得分包、转包或者转让，否则甲方有权单方解除合同且乙方须立即返还甲方已支付的款项，同时乙方向甲方支付合同价款30%的违约金。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乙方应执行国家有关规定（如最低工资标准和其他规定），负责乙方员工的生病、事故、伤残、死亡和劳务纠纷，甲方不承担任何相关责任。乙方尤其负有对自己员工的安全责任，甲方不承担任何相关责任。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 乙方履约过程中给任何第三方造成的损失或对第三方侵权的，乙方应自行承担相关责任；给甲方造成损失的，</w:t>
      </w:r>
      <w:r>
        <w:rPr>
          <w:rFonts w:hint="eastAsia" w:ascii="宋体" w:hAnsi="宋体" w:eastAsia="宋体" w:cs="宋体"/>
          <w:color w:val="auto"/>
          <w:sz w:val="24"/>
          <w:szCs w:val="24"/>
          <w:highlight w:val="none"/>
          <w:lang w:eastAsia="zh-CN"/>
        </w:rPr>
        <w:t xml:space="preserve">乙方应当</w:t>
      </w:r>
      <w:r>
        <w:rPr>
          <w:rFonts w:hint="eastAsia" w:ascii="宋体" w:hAnsi="宋体" w:eastAsia="宋体" w:cs="宋体"/>
          <w:color w:val="auto"/>
          <w:sz w:val="24"/>
          <w:szCs w:val="24"/>
          <w:highlight w:val="none"/>
        </w:rPr>
        <w:t xml:space="preserve">予以</w:t>
      </w:r>
      <w:r>
        <w:rPr>
          <w:rFonts w:hint="eastAsia" w:ascii="宋体" w:hAnsi="宋体" w:eastAsia="宋体" w:cs="宋体"/>
          <w:color w:val="auto"/>
          <w:sz w:val="24"/>
          <w:szCs w:val="24"/>
          <w:highlight w:val="none"/>
          <w:lang w:eastAsia="zh-CN"/>
        </w:rPr>
        <w:t xml:space="preserve">赔偿</w:t>
      </w:r>
      <w:r>
        <w:rPr>
          <w:rFonts w:hint="eastAsia" w:ascii="宋体" w:hAnsi="宋体" w:eastAsia="宋体" w:cs="宋体"/>
          <w:color w:val="auto"/>
          <w:sz w:val="24"/>
          <w:szCs w:val="24"/>
          <w:highlight w:val="none"/>
        </w:rPr>
        <w:t xml:space="preserve">。</w:t>
      </w:r>
      <w:r/>
    </w:p>
    <w:p>
      <w:pPr>
        <w:pStyle w:val="917"/>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2.7在合同生效后，乙方无故要求解除合同的，应向甲方偿付合同价款30%的违约金，违约金不足以补偿损失的，甲方有权要求乙方补足。</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乙方应向甲方的支付的违约金，以及甲方因乙方违约而被迫垫付的费用或者发生的损失，甲方可从任何应付乙方费用中直接扣除。</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3、如果出现政府采购监管部门在处理投诉事项期间，通知甲方暂停采购活动的情形，或者询问或质疑事项可能影响最终成交结果的，导致甲方中止履行合同的情形，均不视为甲方违约。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4、不可抗力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4.1不可抗力指下列事件：战争、动乱、瘟疫、严重火灾、洪水、地震、风暴或其他自然灾害，以及本合同各方不可预见、不可防止并不能避免或克服的一切其他因素及事件。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合同各方应根据不可抗力对本合同履行的影响程度，协商确定是否终止本合同，或是继续履行本合同。</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九、合同修改：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甲方和乙方都不得擅自变更本合同，但合同继续履行将损害国家和社会公共利益的除外。</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十、转包和分包：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乙方必须自己完成合同内容，合同不得分包、转包，否则，甲方有权按乙方违约处理。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十一、合同的解除：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1、有下列情形之一，合同一方可以解除合同：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（1）因不可抗力致使不能实现合同目的；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（2）因合同一方违约导致合同不能履行，另一方有权解除合同。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（3）在履行本协议过程中，出现继续履行将损害国家利益、社会公共利益的；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（4）其他合同约定的解除情形。</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2、合同解除异议权的行使期间：自解除通知到达对方之日起30日内。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乙方提交的响应材料虚假，或者乙方故意隐瞒足以导致不能成交的事实被发现的，甲方可以单方解除本合同，乙方须立即返还甲方已支付的款项，同时乙方向甲方支付合同价款30%的违约金，且由此造成甲方的损失由乙方</w:t>
      </w:r>
      <w:r>
        <w:rPr>
          <w:rFonts w:hint="eastAsia" w:ascii="宋体" w:hAnsi="宋体" w:eastAsia="宋体" w:cs="宋体"/>
          <w:color w:val="auto"/>
          <w:sz w:val="24"/>
          <w:szCs w:val="24"/>
          <w:highlight w:val="none"/>
          <w:lang w:eastAsia="zh-CN"/>
        </w:rPr>
        <w:t xml:space="preserve">予以</w:t>
      </w:r>
      <w:r>
        <w:rPr>
          <w:rFonts w:hint="eastAsia" w:ascii="宋体" w:hAnsi="宋体" w:eastAsia="宋体" w:cs="宋体"/>
          <w:color w:val="auto"/>
          <w:sz w:val="24"/>
          <w:szCs w:val="24"/>
          <w:highlight w:val="none"/>
        </w:rPr>
        <w:t xml:space="preserve">赔偿（包括但不限于诉讼费、合理律师费等）。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3、本合同不得以任何形式</w:t>
      </w:r>
      <w:r>
        <w:rPr>
          <w:rFonts w:hint="eastAsia" w:ascii="宋体" w:hAnsi="宋体" w:eastAsia="宋体" w:cs="宋体"/>
          <w:color w:val="auto"/>
          <w:sz w:val="24"/>
          <w:szCs w:val="24"/>
          <w:highlight w:val="none"/>
          <w:lang w:eastAsia="zh-CN"/>
        </w:rPr>
        <w:t xml:space="preserve">转包、分包或</w:t>
      </w:r>
      <w:r>
        <w:rPr>
          <w:rFonts w:hint="eastAsia" w:ascii="宋体" w:hAnsi="宋体" w:eastAsia="宋体" w:cs="宋体"/>
          <w:color w:val="auto"/>
          <w:sz w:val="24"/>
          <w:szCs w:val="24"/>
          <w:highlight w:val="none"/>
        </w:rPr>
        <w:t xml:space="preserve">转让，否则视为乙方违约，甲方可以单方解除本合同，乙方须立即返还甲方已支付的款项，同时乙方向甲方支付合同价款30%的违约金，且由此造成甲方的损失由乙方</w:t>
      </w:r>
      <w:r>
        <w:rPr>
          <w:rFonts w:hint="eastAsia" w:ascii="宋体" w:hAnsi="宋体" w:eastAsia="宋体" w:cs="宋体"/>
          <w:color w:val="auto"/>
          <w:sz w:val="24"/>
          <w:szCs w:val="24"/>
          <w:highlight w:val="none"/>
          <w:lang w:val="en-US" w:eastAsia="zh-CN"/>
        </w:rPr>
        <w:t xml:space="preserve">予以</w:t>
      </w:r>
      <w:r>
        <w:rPr>
          <w:rFonts w:hint="eastAsia" w:ascii="宋体" w:hAnsi="宋体" w:eastAsia="宋体" w:cs="宋体"/>
          <w:color w:val="auto"/>
          <w:sz w:val="24"/>
          <w:szCs w:val="24"/>
          <w:highlight w:val="none"/>
        </w:rPr>
        <w:t xml:space="preserve">赔偿（包括但不限于诉讼费、合理律师费等）。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.如果甲方根据以上的</w:t>
      </w:r>
      <w:r>
        <w:rPr>
          <w:rFonts w:hint="eastAsia" w:ascii="宋体" w:hAnsi="宋体" w:eastAsia="宋体" w:cs="宋体"/>
          <w:color w:val="auto"/>
          <w:sz w:val="24"/>
          <w:szCs w:val="24"/>
          <w:highlight w:val="none"/>
          <w:lang w:val="en-US" w:eastAsia="zh-CN"/>
        </w:rPr>
        <w:t xml:space="preserve">约定解除了合同</w:t>
      </w:r>
      <w:r>
        <w:rPr>
          <w:rFonts w:hint="eastAsia" w:ascii="宋体" w:hAnsi="宋体" w:eastAsia="宋体" w:cs="宋体"/>
          <w:color w:val="auto"/>
          <w:sz w:val="24"/>
          <w:szCs w:val="24"/>
          <w:highlight w:val="none"/>
        </w:rPr>
        <w:t xml:space="preserve">，甲方可以依其认为适当的条件和方法购买与未提供服务类似的服务，乙方应对购买类似服务所超出的那部分费用负责。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、有权解除合同的一方，应当在违约事实或不可抗力发生之后书面通知对方以主张解除合同，合同在书面通知到达对方时解除。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、如因不可抗力、国家政策调整等客观原因解除本合同的，甲方应按乙方已完成工作阶段的合格工作量支付费用。</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十二、争议解决办法：</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因本合同或与本合同有关的一切事项发生争议，由双方友好协商解决。协商不成的，任何一方均可向甲方所在地有管辖权的人民法院起诉。</w:t>
      </w:r>
      <w:r/>
    </w:p>
    <w:p>
      <w:pPr>
        <w:pStyle w:val="929"/>
        <w:ind w:firstLine="482"/>
        <w:spacing w:line="360" w:lineRule="auto"/>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十三、合同生效及其他：</w:t>
      </w:r>
      <w:r/>
    </w:p>
    <w:p>
      <w:pPr>
        <w:pStyle w:val="929"/>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1、本合同经甲乙双方签字盖章后生效。</w:t>
      </w:r>
      <w:r/>
    </w:p>
    <w:p>
      <w:pPr>
        <w:pStyle w:val="929"/>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2、本合同第二条约定下列文件为本合同不可分割部分：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（一）本项目采购文件；</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（二）磋商响应文件和乙方中标的响应文件；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（三）合同条款</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（四）乙方在招投标过程中所作的其它承诺、声明、书面澄清等。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（五）确定成交供应商的文件（包括但不限于成交通知书等）；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（六）本合同附件（若有）。</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十四、未尽事宜：</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本合同未尽事宜应按照《中华人民共和国民法典》《中华人民共和国政府采购法》等相关法律法规之规定解释。              </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十五、附则：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、本合同经甲乙双方签章之日起生效。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合同系指本文件及其附件中的所有部分，采购文件、成交的响应文件、成交通知书、供应商在采购过程中的澄清和承诺等为本合同不可缺少的组成部分。本合同履行过程中发生相关修改内容，须符合《中华人民共和国政府采购法》和相关法律法规规定；补充协议（若有）作为本合同不可分割的一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、本合同一式伍份，甲、乙方各贰份，</w:t>
      </w:r>
      <w:r>
        <w:rPr>
          <w:rFonts w:hint="eastAsia" w:ascii="宋体" w:hAnsi="宋体" w:eastAsia="宋体" w:cs="宋体"/>
          <w:bCs/>
          <w:color w:val="auto"/>
          <w:sz w:val="24"/>
          <w:szCs w:val="22"/>
          <w:highlight w:val="none"/>
        </w:rPr>
        <w:t xml:space="preserve">采购</w:t>
      </w:r>
      <w:r>
        <w:rPr>
          <w:rFonts w:hint="eastAsia" w:ascii="宋体" w:hAnsi="宋体" w:eastAsia="宋体" w:cs="宋体"/>
          <w:color w:val="auto"/>
          <w:sz w:val="24"/>
          <w:highlight w:val="none"/>
        </w:rPr>
        <w:t xml:space="preserve">代理机构壹份。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、本合同应按照中华人民共和国的现行法律进行解释。</w:t>
      </w:r>
      <w:r/>
    </w:p>
    <w:p>
      <w:pPr>
        <w:pStyle w:val="973"/>
        <w:ind w:firstLine="480"/>
        <w:rPr>
          <w:rFonts w:hAnsi="宋体" w:cs="宋体"/>
          <w:color w:val="auto"/>
          <w:highlight w:val="none"/>
        </w:rPr>
      </w:pPr>
      <w:r>
        <w:rPr>
          <w:rFonts w:hAnsi="宋体" w:cs="宋体"/>
          <w:color w:val="auto"/>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                             乙方：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法定代表人（授权代表）：           法定代表人（授权代表）：    </w:t>
      </w:r>
      <w:r/>
    </w:p>
    <w:p>
      <w:pPr>
        <w:pStyle w:val="916"/>
        <w:ind w:firstLine="480"/>
        <w:jc w:val="center"/>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签约日期：                         签约日期：    </w:t>
      </w:r>
      <w:r>
        <w:rPr>
          <w:rFonts w:hint="eastAsia" w:hAnsi="宋体" w:cs="宋体"/>
          <w:bCs/>
          <w:color w:val="auto"/>
          <w:sz w:val="24"/>
          <w:highlight w:val="none"/>
        </w:rPr>
        <w:tab/>
      </w: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第六章 评审方法及评审标准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一、评审方法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1、本次评审方法采用综合评分法，即在满足磋商文件实质性要求前提下，按照磋商文件中规定的评审标准和各项因素进行综合评审，以评审总得分最高的供应商作为成交候选人。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%（权重），技术与质量及其它占</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%（权重）。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出现评审总得分最高的供应商有两个或两个以上的，以实际最后报价较低者优先作为成交供应商，如果最后报价也相同的，以提供优先采购产品最多的供应商优先中标（如属优先采购产品），否则由磋商小组组织以抽签方式确定成交供应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6、磋商小组对最后报价进行复核，报价以大写为准。</w:t>
      </w:r>
      <w:r/>
    </w:p>
    <w:p>
      <w:pPr>
        <w:ind w:firstLine="422"/>
        <w:spacing w:line="360" w:lineRule="auto"/>
        <w:tabs>
          <w:tab w:val="left" w:pos="567" w:leader="none"/>
        </w:tabs>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二、评分标准：(适用于各标段）</w:t>
      </w:r>
      <w:r/>
    </w:p>
    <w:p>
      <w:pPr>
        <w:ind w:firstLine="420"/>
        <w:spacing w:line="360" w:lineRule="auto"/>
        <w:tabs>
          <w:tab w:val="left" w:pos="567" w:leader="none"/>
        </w:tabs>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（一）价格分（1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第一步：磋商报价低于或等于财政预算价格的，为有效磋商报价。超出财政预算的磋商报价文件为未实质性响应文件，不参与评审。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第二步：以满足采购文件实质性要求且响应价格最低的有效报价为评标基准价，其价格分为满分，其他有效报价的价格分统一按照下列公式计算（计算结果四舍五入保留两位小数）：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磋商报价得分=（磋商基准价/最后磋商报价）×价格权值×100%</w:t>
      </w:r>
      <w:r/>
    </w:p>
    <w:p>
      <w:pPr>
        <w:ind w:firstLine="420"/>
        <w:spacing w:line="360" w:lineRule="auto"/>
        <w:tabs>
          <w:tab w:val="left" w:pos="567" w:leader="none"/>
        </w:tabs>
        <w:rPr>
          <w:b/>
          <w:bCs/>
          <w:color w:val="auto"/>
          <w:spacing w:val="3"/>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）技术服务方案(</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对采购项目需求理解分析(</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根据投标单位对本项目的需求理解、相关政策理解、总体思路等方面进行评定：项目需求理解透彻、政策理解、总体思路清晰的得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分；项目需求理解较透彻，政策理解、总体思路较清晰的得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分；项目需求理解、政策理解、总体思路整体简单的得4分；项目需求理解、政策理解、总体思路简单且有欠缺的得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2.针对本项目的重点、难点分析及应对策略(8分)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根据投标单位对本项目的重点难点分析认识、应对策略方面进行评定：重点难点考虑全 面、分析透彻、对策措施策略详实具体的得8分；重点难点基本考虑到位，分析基本透彻、对策措施策略较为详细的得6分；重点难点、对策措施策略内容考虑简单，分析合理性欠缺的得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分；重点难点、对策措施策略内容较差考虑简单、分析合理性差的得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针对本项目的工作内容组织实施(</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根据投标单位的工作技术路线、工作方案、组织实施方案进行评定：针对本项目的工作技术路线、工作方案、组织实施方案全面完整、可行性高的得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分；针对本项目的工作内容组织实施方案较为完整可行性较好的得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分；针对本项目的工作内容组织实施方案简单、可行性欠缺的得4分；针对本项目的工作内容组织实施方案内容简单且可行性差的得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针对本项目的工作进度安排及进度保障措施(</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根据投标单位的工作进度安排及项目进度保障措施的完整性、可行性方面进行评定：时 间节点安排科学合理详尽可行、项目进度保障措施详实具体、全面合理的得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分；时间节点安排较合理较为可行、项目进度保障措施较为全面、合理性较好的得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分；时间节点安排简单、项目进度保障措施简单、合理性欠缺的得4分；时间节点安排简单及进度保障措施欠缺、合理性差的得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针对本项目的技术质量保障措施(8分)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针对本项目的技术质量保障措施详实具体、全面合理的得8分；针对本项目的技术质量 保障措施较为全面、合理性较好的得6分；针对本项目的技术质量保障措施简单、合理性欠缺的得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分；针对本项目的技术质量保障措施简单且不合理的得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针对本项目的安全保密保障措施(</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针对本项目的安全保密保障措施详实具体、全面合理的得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分；针对本项目的安全保密 保障措施较为全面、合理性较好的得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分；针对本项目的安全保密保障措施简单、合理性欠缺的得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分；针对本项目的安全保密保障措施简单且不合理的得1分；未提供不得分。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针对本项目的后续安排与服务承诺(</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根据投标单位的后续安排与服务承诺方面，具体为针对本项目提供的技术支持的响应时 间以及后续服务承诺及服务条款情况评定：方案内容详实具体、承诺内容及保证措施明确、科学、合理、可实施性高的得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分；方案内容较为详细、承诺的科学合理、可实施性较好的得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分；方案内容简单、承诺合理性和可实施性欠缺的得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分；方案内容简单且承诺合理性和可实施性差的得1分；未提供不得分。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）项目组人员配置情况(</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项目负责人(</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1.1项目负责人具备高级职称得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分，具备中级职称得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分，其余不得分。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项目组成员(不含项目负责人)(1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2.1项目组成员中具备中级及以上职称的，每提供一人得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注：1)投标文件中须提供以上人员相关证书扫描件并加盖公章，否则不得分。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2)投标文件中须提供投标单位为上述人员缴纳的近一期社保缴费证明扫描件并加盖公 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）投标单位综合实力(</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1.投标单位具有省级及以上土地整治项目规划设计相关的证书，有一个得3分，本项最高得6分。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.投标单位管理体系认证(</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投标单位具有有效的质量管理体系认证、环境管理体系认证、职业健康安全管理体系认证，每具备一项得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w:t>
      </w:r>
      <w:r>
        <w:rPr>
          <w:rFonts w:hint="eastAsia" w:ascii="宋体" w:hAnsi="宋体" w:eastAsia="宋体" w:cs="宋体"/>
          <w:color w:val="auto"/>
          <w:sz w:val="24"/>
          <w:szCs w:val="24"/>
          <w:highlight w:val="none"/>
          <w:lang w:val="en-US" w:eastAsia="zh-CN"/>
        </w:rPr>
        <w:t xml:space="preserve">为2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注：提供上述有效证书复印件，以及证书在全国认证认可信息公共服务平台上查询为有效的完整清晰页面截图，提供上述材料加盖投标单位签章，资料未提供或所提供资料无法证明对应评分内容的对应项不得分。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2.投标单位类似项目业绩(12分)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投标单位202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年1月至今承担过类似项目业绩的，每有一个得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分，最高为12分。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注：提供项目合同复印件(时间以合同签订日期为准)加盖投标单位签章，资料未提供或所提供资料无法证明对应评分内容的对应项不得分。</w:t>
      </w:r>
      <w:r/>
    </w:p>
    <w:p>
      <w:pPr>
        <w:ind w:firstLine="420"/>
        <w:spacing w:line="360" w:lineRule="auto"/>
        <w:tabs>
          <w:tab w:val="left" w:pos="567"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42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p>
      <w:pPr>
        <w:ind w:firstLine="420"/>
        <w:spacing w:line="360" w:lineRule="auto"/>
        <w:rPr>
          <w:rStyle w:val="1089"/>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供应商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p>
    <w:p>
      <w:pPr>
        <w:ind w:firstLine="482"/>
        <w:spacing w:line="360" w:lineRule="auto"/>
        <w:rPr>
          <w:rStyle w:val="1089"/>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Style w:val="1089"/>
          <w:rFonts w:ascii="宋体" w:hAnsi="宋体" w:eastAsia="宋体" w:cs="宋体"/>
          <w:b/>
          <w:color w:val="auto"/>
          <w:sz w:val="24"/>
          <w:szCs w:val="24"/>
          <w:highlight w:val="none"/>
        </w:rPr>
      </w:pPr>
      <w:r>
        <w:rPr>
          <w:rStyle w:val="1089"/>
          <w:rFonts w:hint="eastAsia" w:ascii="宋体" w:hAnsi="宋体" w:eastAsia="宋体" w:cs="宋体"/>
          <w:b/>
          <w:color w:val="auto"/>
          <w:sz w:val="24"/>
          <w:szCs w:val="24"/>
          <w:highlight w:val="none"/>
        </w:rPr>
        <w:t xml:space="preserve">三、政府采购政策： </w:t>
      </w:r>
      <w:r/>
    </w:p>
    <w:p>
      <w:pPr>
        <w:ind w:firstLine="480"/>
        <w:spacing w:line="360" w:lineRule="auto"/>
        <w:tabs>
          <w:tab w:val="left" w:pos="287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1、针对中小型企业的评审加分：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 xml:space="preserve">（1）本项目专门面向中小企业采购</w:t>
      </w:r>
      <w:r>
        <w:rPr>
          <w:rFonts w:hint="eastAsia" w:ascii="宋体" w:hAnsi="宋体" w:eastAsia="宋体" w:cs="宋体"/>
          <w:b/>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b/>
          <w:color w:val="auto"/>
          <w:sz w:val="24"/>
          <w:szCs w:val="24"/>
          <w:highlight w:val="none"/>
          <w:u w:val="single"/>
        </w:rPr>
        <w:t xml:space="preserve">其他未列明行业</w:t>
      </w:r>
      <w:r>
        <w:rPr>
          <w:rFonts w:hint="eastAsia" w:ascii="宋体" w:hAnsi="宋体" w:eastAsia="宋体" w:cs="宋体"/>
          <w:b/>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未按本项目采购标的对应的中小企业划型标准规定所属行业承诺的《中小企业声明函》为无效《中小企业声明函》。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3、针对监狱企业的评审加分：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根据财政部、司法部《关于政府采购支持监狱企业发展有关问题的通知》（财库〔2014〕68号）的规定，对属于监狱企业的供应商给予评审加分：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4、针对残疾人福利性单位的评审加分：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rPr>
        <w:t xml:space="preserve">，对属于残疾人福利性单位的供应商给予评审加分：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（1）供应商对上述声明的真实性负责，若供应商提供的《残疾人福利性单位声明函》与事实不符的，依照《政府采购法》第七十七条第一款的规定追究法律责任。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（2）供应商为残疾人福利性单位的，采购代理机构将随中标结果同时公告其《残疾人福利性单位声明函》，接受社会监督。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5、上述针对中小型企业、监狱企业和残疾人福利性单位的评审加分政策不重复享受。</w:t>
      </w:r>
      <w:r/>
    </w:p>
    <w:p>
      <w:pPr>
        <w:ind w:firstLine="48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（全文完）</w:t>
      </w:r>
      <w:bookmarkEnd w:id="7"/>
      <w:r/>
      <w:r/>
    </w:p>
    <w:sectPr>
      <w:footerReference w:type="default" r:id="rId13"/>
      <w:footnotePr/>
      <w:endnotePr/>
      <w:type w:val="nextPage"/>
      <w:pgSz w:w="11906" w:h="16838" w:orient="portrait"/>
      <w:pgMar w:top="1134" w:right="1134" w:bottom="1134" w:left="1134" w:header="851"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微软雅黑">
    <w:panose1 w:val="020B0503020204020204"/>
  </w:font>
  <w:font w:name="Batang">
    <w:panose1 w:val="02010600040101010101"/>
  </w:font>
  <w:font w:name="Courier New">
    <w:panose1 w:val="02070309020205020404"/>
  </w:font>
  <w:font w:name="方正仿宋简体">
    <w:panose1 w:val="020B0503020202020204"/>
  </w:font>
  <w:font w:name="Tahoma">
    <w:panose1 w:val="020B060403050404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5"/>
                          </w:pPr>
                          <w:r>
                            <w:fldChar w:fldCharType="begin"/>
                          </w:r>
                          <w:r>
                            <w:instrText xml:space="preserve"> PAGE  \* MERGEFORMAT </w:instrText>
                          </w:r>
                          <w:r>
                            <w:fldChar w:fldCharType="separate"/>
                          </w:r>
                          <w:r>
                            <w:t xml:space="preserve">31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5"/>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360"/>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5095" cy="13779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25095" cy="137795"/>
                      </a:xfrm>
                      <a:prstGeom prst="rect">
                        <a:avLst/>
                      </a:prstGeom>
                      <a:noFill/>
                      <a:ln w="15875">
                        <a:noFill/>
                      </a:ln>
                    </wps:spPr>
                    <wps:txbx>
                      <w:txbxContent>
                        <w:p>
                          <w:pPr>
                            <w:pStyle w:val="935"/>
                          </w:pPr>
                          <w:r>
                            <w:fldChar w:fldCharType="begin"/>
                          </w:r>
                          <w:r>
                            <w:instrText xml:space="preserve"> PAGE  \* MERGEFORMAT </w:instrText>
                          </w:r>
                          <w:r>
                            <w:fldChar w:fldCharType="separate"/>
                          </w:r>
                          <w:r>
                            <w:t xml:space="preserve">43</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8pt;height:10.8pt;mso-wrap-distance-left:9.0pt;mso-wrap-distance-top:0.0pt;mso-wrap-distance-right:9.0pt;mso-wrap-distance-bottom:0.0pt;visibility:visible;" filled="f" stroked="f" strokeweight="1.25pt">
              <v:textbox inset="0,0,0,0">
                <w:txbxContent>
                  <w:p>
                    <w:pPr>
                      <w:pStyle w:val="935"/>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left"/>
      <w:rPr>
        <w:rFonts w:ascii="宋体" w:hAnsi="宋体" w:cs="宋体"/>
      </w:rPr>
    </w:pPr>
    <w:r>
      <w:rPr>
        <w:rFonts w:hint="eastAsia" w:ascii="宋体" w:hAnsi="宋体" w:cs="宋体"/>
      </w:rPr>
      <w:t xml:space="preserve">苏州正杰招投标咨询服务有限公司                                                                    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59"/>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925"/>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18"/>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27"/>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2"/>
  </w:num>
  <w:num w:numId="2">
    <w:abstractNumId w:val="1"/>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05"/>
    <w:link w:val="896"/>
    <w:uiPriority w:val="9"/>
    <w:rPr>
      <w:rFonts w:ascii="Arial" w:hAnsi="Arial" w:eastAsia="Arial" w:cs="Arial"/>
      <w:sz w:val="40"/>
      <w:szCs w:val="40"/>
    </w:rPr>
  </w:style>
  <w:style w:type="character" w:styleId="745">
    <w:name w:val="Heading 2 Char"/>
    <w:basedOn w:val="905"/>
    <w:link w:val="897"/>
    <w:uiPriority w:val="9"/>
    <w:rPr>
      <w:rFonts w:ascii="Arial" w:hAnsi="Arial" w:eastAsia="Arial" w:cs="Arial"/>
      <w:sz w:val="34"/>
    </w:rPr>
  </w:style>
  <w:style w:type="character" w:styleId="746">
    <w:name w:val="Heading 3 Char"/>
    <w:basedOn w:val="905"/>
    <w:link w:val="898"/>
    <w:uiPriority w:val="9"/>
    <w:rPr>
      <w:rFonts w:ascii="Arial" w:hAnsi="Arial" w:eastAsia="Arial" w:cs="Arial"/>
      <w:sz w:val="30"/>
      <w:szCs w:val="30"/>
    </w:rPr>
  </w:style>
  <w:style w:type="character" w:styleId="747">
    <w:name w:val="Heading 4 Char"/>
    <w:basedOn w:val="905"/>
    <w:link w:val="899"/>
    <w:uiPriority w:val="9"/>
    <w:rPr>
      <w:rFonts w:ascii="Arial" w:hAnsi="Arial" w:eastAsia="Arial" w:cs="Arial"/>
      <w:b/>
      <w:bCs/>
      <w:sz w:val="26"/>
      <w:szCs w:val="26"/>
    </w:rPr>
  </w:style>
  <w:style w:type="character" w:styleId="748">
    <w:name w:val="Heading 5 Char"/>
    <w:basedOn w:val="905"/>
    <w:link w:val="900"/>
    <w:uiPriority w:val="9"/>
    <w:rPr>
      <w:rFonts w:ascii="Arial" w:hAnsi="Arial" w:eastAsia="Arial" w:cs="Arial"/>
      <w:b/>
      <w:bCs/>
      <w:sz w:val="24"/>
      <w:szCs w:val="24"/>
    </w:rPr>
  </w:style>
  <w:style w:type="character" w:styleId="749">
    <w:name w:val="Heading 6 Char"/>
    <w:basedOn w:val="905"/>
    <w:link w:val="901"/>
    <w:uiPriority w:val="9"/>
    <w:rPr>
      <w:rFonts w:ascii="Arial" w:hAnsi="Arial" w:eastAsia="Arial" w:cs="Arial"/>
      <w:b/>
      <w:bCs/>
      <w:sz w:val="22"/>
      <w:szCs w:val="22"/>
    </w:rPr>
  </w:style>
  <w:style w:type="character" w:styleId="750">
    <w:name w:val="Heading 7 Char"/>
    <w:basedOn w:val="905"/>
    <w:link w:val="902"/>
    <w:uiPriority w:val="9"/>
    <w:rPr>
      <w:rFonts w:ascii="Arial" w:hAnsi="Arial" w:eastAsia="Arial" w:cs="Arial"/>
      <w:b/>
      <w:bCs/>
      <w:i/>
      <w:iCs/>
      <w:sz w:val="22"/>
      <w:szCs w:val="22"/>
    </w:rPr>
  </w:style>
  <w:style w:type="character" w:styleId="751">
    <w:name w:val="Heading 8 Char"/>
    <w:basedOn w:val="905"/>
    <w:link w:val="903"/>
    <w:uiPriority w:val="9"/>
    <w:rPr>
      <w:rFonts w:ascii="Arial" w:hAnsi="Arial" w:eastAsia="Arial" w:cs="Arial"/>
      <w:i/>
      <w:iCs/>
      <w:sz w:val="22"/>
      <w:szCs w:val="22"/>
    </w:rPr>
  </w:style>
  <w:style w:type="character" w:styleId="752">
    <w:name w:val="Heading 9 Char"/>
    <w:basedOn w:val="905"/>
    <w:link w:val="904"/>
    <w:uiPriority w:val="9"/>
    <w:rPr>
      <w:rFonts w:ascii="Arial" w:hAnsi="Arial" w:eastAsia="Arial" w:cs="Arial"/>
      <w:i/>
      <w:iCs/>
      <w:sz w:val="21"/>
      <w:szCs w:val="21"/>
    </w:rPr>
  </w:style>
  <w:style w:type="paragraph" w:styleId="753">
    <w:name w:val="Title"/>
    <w:basedOn w:val="895"/>
    <w:next w:val="895"/>
    <w:link w:val="754"/>
    <w:uiPriority w:val="10"/>
    <w:qFormat/>
    <w:pPr>
      <w:contextualSpacing/>
      <w:spacing w:before="300" w:after="200"/>
    </w:pPr>
    <w:rPr>
      <w:sz w:val="48"/>
      <w:szCs w:val="48"/>
    </w:rPr>
  </w:style>
  <w:style w:type="character" w:styleId="754">
    <w:name w:val="Title Char"/>
    <w:basedOn w:val="905"/>
    <w:link w:val="753"/>
    <w:uiPriority w:val="10"/>
    <w:rPr>
      <w:sz w:val="48"/>
      <w:szCs w:val="48"/>
    </w:rPr>
  </w:style>
  <w:style w:type="paragraph" w:styleId="755">
    <w:name w:val="Subtitle"/>
    <w:basedOn w:val="895"/>
    <w:next w:val="895"/>
    <w:link w:val="756"/>
    <w:uiPriority w:val="11"/>
    <w:qFormat/>
    <w:pPr>
      <w:spacing w:before="200" w:after="200"/>
    </w:pPr>
    <w:rPr>
      <w:sz w:val="24"/>
      <w:szCs w:val="24"/>
    </w:rPr>
  </w:style>
  <w:style w:type="character" w:styleId="756">
    <w:name w:val="Subtitle Char"/>
    <w:basedOn w:val="905"/>
    <w:link w:val="755"/>
    <w:uiPriority w:val="11"/>
    <w:rPr>
      <w:sz w:val="24"/>
      <w:szCs w:val="24"/>
    </w:rPr>
  </w:style>
  <w:style w:type="paragraph" w:styleId="757">
    <w:name w:val="Quote"/>
    <w:basedOn w:val="895"/>
    <w:next w:val="895"/>
    <w:link w:val="758"/>
    <w:uiPriority w:val="29"/>
    <w:qFormat/>
    <w:pPr>
      <w:ind w:left="720" w:right="720"/>
    </w:pPr>
    <w:rPr>
      <w:i/>
    </w:rPr>
  </w:style>
  <w:style w:type="character" w:styleId="758">
    <w:name w:val="Quote Char"/>
    <w:link w:val="757"/>
    <w:uiPriority w:val="29"/>
    <w:rPr>
      <w:i/>
    </w:rPr>
  </w:style>
  <w:style w:type="paragraph" w:styleId="759">
    <w:name w:val="Intense Quote"/>
    <w:basedOn w:val="895"/>
    <w:next w:val="895"/>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character" w:styleId="761">
    <w:name w:val="Header Char"/>
    <w:basedOn w:val="905"/>
    <w:link w:val="937"/>
    <w:uiPriority w:val="99"/>
  </w:style>
  <w:style w:type="character" w:styleId="762">
    <w:name w:val="Footer Char"/>
    <w:basedOn w:val="905"/>
    <w:link w:val="935"/>
    <w:uiPriority w:val="99"/>
  </w:style>
  <w:style w:type="paragraph" w:styleId="763">
    <w:name w:val="Caption"/>
    <w:basedOn w:val="895"/>
    <w:next w:val="895"/>
    <w:uiPriority w:val="35"/>
    <w:semiHidden/>
    <w:unhideWhenUsed/>
    <w:qFormat/>
    <w:pPr>
      <w:spacing w:line="276" w:lineRule="auto"/>
    </w:pPr>
    <w:rPr>
      <w:b/>
      <w:bCs/>
      <w:color w:val="4f81bd" w:themeColor="accent1"/>
      <w:sz w:val="18"/>
      <w:szCs w:val="18"/>
    </w:rPr>
  </w:style>
  <w:style w:type="character" w:styleId="764">
    <w:name w:val="Caption Char"/>
    <w:basedOn w:val="763"/>
    <w:link w:val="935"/>
    <w:uiPriority w:val="99"/>
  </w:style>
  <w:style w:type="table" w:styleId="765">
    <w:name w:val="Table Grid Light"/>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9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9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9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basedOn w:val="9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basedOn w:val="9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basedOn w:val="9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basedOn w:val="9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basedOn w:val="9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basedOn w:val="9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basedOn w:val="9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basedOn w:val="9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basedOn w:val="9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basedOn w:val="9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basedOn w:val="9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basedOn w:val="9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basedOn w:val="9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basedOn w:val="9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basedOn w:val="9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basedOn w:val="9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basedOn w:val="9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basedOn w:val="9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basedOn w:val="9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basedOn w:val="9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basedOn w:val="9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basedOn w:val="9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basedOn w:val="9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basedOn w:val="9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basedOn w:val="9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basedOn w:val="9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basedOn w:val="9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basedOn w:val="9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basedOn w:val="9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basedOn w:val="9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basedOn w:val="9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basedOn w:val="9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basedOn w:val="9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basedOn w:val="9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basedOn w:val="9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basedOn w:val="9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basedOn w:val="9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basedOn w:val="9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basedOn w:val="9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basedOn w:val="9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basedOn w:val="9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basedOn w:val="9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basedOn w:val="9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basedOn w:val="9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basedOn w:val="9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basedOn w:val="9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basedOn w:val="9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basedOn w:val="9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basedOn w:val="9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9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basedOn w:val="9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basedOn w:val="9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basedOn w:val="9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basedOn w:val="9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basedOn w:val="9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basedOn w:val="9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basedOn w:val="9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basedOn w:val="9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basedOn w:val="9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basedOn w:val="9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basedOn w:val="9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basedOn w:val="9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basedOn w:val="9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basedOn w:val="9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basedOn w:val="9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basedOn w:val="9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basedOn w:val="9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basedOn w:val="9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basedOn w:val="9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Footnote Text Char"/>
    <w:link w:val="942"/>
    <w:uiPriority w:val="99"/>
    <w:rPr>
      <w:sz w:val="18"/>
    </w:rPr>
  </w:style>
  <w:style w:type="paragraph" w:styleId="891">
    <w:name w:val="endnote text"/>
    <w:basedOn w:val="89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basedOn w:val="905"/>
    <w:uiPriority w:val="99"/>
    <w:semiHidden/>
    <w:unhideWhenUsed/>
    <w:rPr>
      <w:vertAlign w:val="superscript"/>
    </w:rPr>
  </w:style>
  <w:style w:type="paragraph" w:styleId="894">
    <w:name w:val="TOC Heading"/>
    <w:uiPriority w:val="39"/>
    <w:unhideWhenUsed/>
  </w:style>
  <w:style w:type="paragraph" w:styleId="895"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96">
    <w:name w:val="Heading 1"/>
    <w:basedOn w:val="907"/>
    <w:next w:val="895"/>
    <w:link w:val="974"/>
    <w:uiPriority w:val="0"/>
    <w:qFormat/>
    <w:pPr>
      <w:keepLines/>
      <w:keepNext/>
      <w:spacing w:before="340" w:after="330" w:line="578" w:lineRule="auto"/>
      <w:outlineLvl w:val="0"/>
    </w:pPr>
    <w:rPr>
      <w:b/>
      <w:sz w:val="44"/>
    </w:rPr>
  </w:style>
  <w:style w:type="paragraph" w:styleId="897">
    <w:name w:val="Heading 2"/>
    <w:basedOn w:val="895"/>
    <w:next w:val="895"/>
    <w:link w:val="975"/>
    <w:uiPriority w:val="0"/>
    <w:qFormat/>
    <w:pPr>
      <w:jc w:val="left"/>
      <w:keepLines/>
      <w:keepNext/>
      <w:outlineLvl w:val="1"/>
    </w:pPr>
    <w:rPr>
      <w:rFonts w:ascii="宋体" w:hAnsi="宋体"/>
      <w:b/>
    </w:rPr>
  </w:style>
  <w:style w:type="paragraph" w:styleId="898">
    <w:name w:val="Heading 3"/>
    <w:basedOn w:val="895"/>
    <w:next w:val="895"/>
    <w:link w:val="976"/>
    <w:uiPriority w:val="0"/>
    <w:qFormat/>
    <w:pPr>
      <w:jc w:val="left"/>
      <w:keepLines/>
      <w:keepNext/>
      <w:outlineLvl w:val="2"/>
    </w:pPr>
    <w:rPr>
      <w:b/>
    </w:rPr>
  </w:style>
  <w:style w:type="paragraph" w:styleId="899">
    <w:name w:val="Heading 4"/>
    <w:basedOn w:val="895"/>
    <w:next w:val="895"/>
    <w:link w:val="977"/>
    <w:uiPriority w:val="0"/>
    <w:qFormat/>
    <w:pPr>
      <w:keepLines/>
      <w:keepNext/>
      <w:spacing w:before="280" w:after="290" w:line="376" w:lineRule="auto"/>
      <w:outlineLvl w:val="3"/>
    </w:pPr>
    <w:rPr>
      <w:rFonts w:ascii="Arial" w:hAnsi="Arial" w:eastAsia="黑体"/>
      <w:b/>
      <w:bCs/>
      <w:sz w:val="28"/>
      <w:szCs w:val="28"/>
    </w:rPr>
  </w:style>
  <w:style w:type="paragraph" w:styleId="900">
    <w:name w:val="Heading 5"/>
    <w:basedOn w:val="895"/>
    <w:next w:val="895"/>
    <w:link w:val="978"/>
    <w:uiPriority w:val="0"/>
    <w:qFormat/>
    <w:pPr>
      <w:jc w:val="left"/>
      <w:keepLines/>
      <w:keepNext/>
      <w:spacing w:before="280" w:after="290" w:line="376" w:lineRule="atLeast"/>
      <w:outlineLvl w:val="4"/>
    </w:pPr>
    <w:rPr>
      <w:rFonts w:ascii="宋体" w:hAnsi="Tms Rmn" w:eastAsia="宋体"/>
      <w:b/>
      <w:sz w:val="28"/>
    </w:rPr>
  </w:style>
  <w:style w:type="paragraph" w:styleId="901">
    <w:name w:val="Heading 6"/>
    <w:basedOn w:val="895"/>
    <w:next w:val="895"/>
    <w:link w:val="979"/>
    <w:uiPriority w:val="0"/>
    <w:qFormat/>
    <w:pPr>
      <w:jc w:val="left"/>
      <w:keepLines/>
      <w:keepNext/>
      <w:spacing w:before="240" w:after="64" w:line="320" w:lineRule="atLeast"/>
      <w:outlineLvl w:val="5"/>
    </w:pPr>
    <w:rPr>
      <w:rFonts w:ascii="黑体" w:hAnsi="Tms Rmn" w:eastAsia="黑体"/>
      <w:b/>
      <w:sz w:val="24"/>
    </w:rPr>
  </w:style>
  <w:style w:type="paragraph" w:styleId="902">
    <w:name w:val="Heading 7"/>
    <w:basedOn w:val="895"/>
    <w:next w:val="895"/>
    <w:link w:val="980"/>
    <w:uiPriority w:val="0"/>
    <w:qFormat/>
    <w:pPr>
      <w:jc w:val="left"/>
      <w:keepLines/>
      <w:keepNext/>
      <w:spacing w:before="240" w:after="64" w:line="320" w:lineRule="atLeast"/>
      <w:outlineLvl w:val="6"/>
    </w:pPr>
    <w:rPr>
      <w:rFonts w:ascii="宋体" w:hAnsi="Tms Rmn" w:eastAsia="宋体"/>
      <w:b/>
      <w:sz w:val="24"/>
    </w:rPr>
  </w:style>
  <w:style w:type="paragraph" w:styleId="903">
    <w:name w:val="Heading 8"/>
    <w:basedOn w:val="895"/>
    <w:next w:val="895"/>
    <w:link w:val="981"/>
    <w:uiPriority w:val="0"/>
    <w:qFormat/>
    <w:pPr>
      <w:keepLines/>
      <w:keepNext/>
      <w:spacing w:before="240" w:after="64" w:line="320" w:lineRule="auto"/>
      <w:outlineLvl w:val="7"/>
    </w:pPr>
    <w:rPr>
      <w:rFonts w:ascii="Arial" w:hAnsi="Arial" w:eastAsia="黑体"/>
      <w:sz w:val="24"/>
      <w:szCs w:val="24"/>
    </w:rPr>
  </w:style>
  <w:style w:type="paragraph" w:styleId="904">
    <w:name w:val="Heading 9"/>
    <w:basedOn w:val="895"/>
    <w:next w:val="895"/>
    <w:link w:val="982"/>
    <w:uiPriority w:val="0"/>
    <w:qFormat/>
    <w:pPr>
      <w:keepLines/>
      <w:keepNext/>
      <w:spacing w:before="240" w:after="64" w:line="320" w:lineRule="auto"/>
      <w:outlineLvl w:val="8"/>
    </w:pPr>
    <w:rPr>
      <w:rFonts w:ascii="Arial" w:hAnsi="Arial" w:eastAsia="黑体"/>
      <w:sz w:val="24"/>
      <w:szCs w:val="21"/>
    </w:rPr>
  </w:style>
  <w:style w:type="character" w:styleId="905" w:default="1">
    <w:name w:val="Default Paragraph Font"/>
    <w:uiPriority w:val="1"/>
    <w:semiHidden/>
    <w:unhideWhenUsed/>
    <w:qFormat/>
  </w:style>
  <w:style w:type="table" w:styleId="906" w:default="1">
    <w:name w:val="Normal Table"/>
    <w:uiPriority w:val="99"/>
    <w:semiHidden/>
    <w:unhideWhenUsed/>
    <w:qFormat/>
    <w:tblPr>
      <w:tblCellMar>
        <w:left w:w="108" w:type="dxa"/>
        <w:top w:w="0" w:type="dxa"/>
        <w:right w:w="108" w:type="dxa"/>
        <w:bottom w:w="0" w:type="dxa"/>
      </w:tblCellMar>
    </w:tblPr>
  </w:style>
  <w:style w:type="paragraph" w:styleId="907">
    <w:name w:val="List Paragraph"/>
    <w:basedOn w:val="895"/>
    <w:uiPriority w:val="0"/>
    <w:qFormat/>
    <w:pPr>
      <w:ind w:firstLine="420"/>
    </w:pPr>
  </w:style>
  <w:style w:type="paragraph" w:styleId="908">
    <w:name w:val="toc 7"/>
    <w:basedOn w:val="896"/>
    <w:next w:val="895"/>
    <w:uiPriority w:val="0"/>
    <w:qFormat/>
    <w:pPr>
      <w:ind w:left="2520"/>
    </w:pPr>
  </w:style>
  <w:style w:type="paragraph" w:styleId="909">
    <w:name w:val="index 8"/>
    <w:basedOn w:val="895"/>
    <w:next w:val="895"/>
    <w:uiPriority w:val="0"/>
    <w:qFormat/>
    <w:pPr>
      <w:ind w:left="2940"/>
    </w:pPr>
  </w:style>
  <w:style w:type="paragraph" w:styleId="910">
    <w:name w:val="List Number"/>
    <w:basedOn w:val="895"/>
    <w:uiPriority w:val="0"/>
    <w:qFormat/>
    <w:pPr>
      <w:ind w:left="1125" w:hanging="555"/>
      <w:tabs>
        <w:tab w:val="left" w:pos="1125" w:leader="none"/>
      </w:tabs>
    </w:pPr>
    <w:rPr>
      <w:rFonts w:eastAsia="宋体"/>
      <w:sz w:val="21"/>
      <w:szCs w:val="24"/>
    </w:rPr>
  </w:style>
  <w:style w:type="paragraph" w:styleId="911">
    <w:name w:val="Normal Indent"/>
    <w:basedOn w:val="895"/>
    <w:next w:val="895"/>
    <w:link w:val="983"/>
    <w:uiPriority w:val="0"/>
    <w:qFormat/>
    <w:pPr>
      <w:ind w:firstLine="420"/>
      <w:jc w:val="left"/>
    </w:pPr>
    <w:rPr>
      <w:sz w:val="24"/>
    </w:rPr>
  </w:style>
  <w:style w:type="paragraph" w:styleId="912">
    <w:name w:val="index 5"/>
    <w:basedOn w:val="895"/>
    <w:next w:val="895"/>
    <w:uiPriority w:val="0"/>
    <w:qFormat/>
    <w:pPr>
      <w:ind w:left="1680"/>
    </w:pPr>
  </w:style>
  <w:style w:type="paragraph" w:styleId="913">
    <w:name w:val="Document Map"/>
    <w:basedOn w:val="895"/>
    <w:link w:val="984"/>
    <w:uiPriority w:val="0"/>
    <w:qFormat/>
    <w:pPr>
      <w:shd w:val="clear" w:color="auto" w:fill="000080"/>
    </w:pPr>
    <w:rPr>
      <w:rFonts w:eastAsia="宋体"/>
      <w:sz w:val="24"/>
      <w:shd w:val="clear" w:color="auto" w:fill="000080"/>
    </w:rPr>
  </w:style>
  <w:style w:type="paragraph" w:styleId="914">
    <w:name w:val="annotation text"/>
    <w:basedOn w:val="895"/>
    <w:link w:val="985"/>
    <w:uiPriority w:val="0"/>
    <w:qFormat/>
    <w:pPr>
      <w:jc w:val="left"/>
    </w:pPr>
  </w:style>
  <w:style w:type="paragraph" w:styleId="915">
    <w:name w:val="index 6"/>
    <w:basedOn w:val="895"/>
    <w:next w:val="895"/>
    <w:uiPriority w:val="0"/>
    <w:qFormat/>
    <w:pPr>
      <w:ind w:left="2100"/>
    </w:pPr>
  </w:style>
  <w:style w:type="paragraph" w:styleId="916">
    <w:name w:val="Body Text"/>
    <w:basedOn w:val="895"/>
    <w:link w:val="986"/>
    <w:uiPriority w:val="0"/>
    <w:qFormat/>
    <w:pPr>
      <w:spacing w:line="400" w:lineRule="exact"/>
    </w:pPr>
    <w:rPr>
      <w:rFonts w:ascii="楷体_GB2312"/>
      <w:sz w:val="28"/>
    </w:rPr>
  </w:style>
  <w:style w:type="paragraph" w:styleId="917">
    <w:name w:val="Body Text Indent"/>
    <w:basedOn w:val="895"/>
    <w:link w:val="987"/>
    <w:uiPriority w:val="0"/>
    <w:qFormat/>
    <w:pPr>
      <w:ind w:left="570"/>
      <w:spacing w:line="520" w:lineRule="exact"/>
    </w:pPr>
    <w:rPr>
      <w:rFonts w:ascii="方正仿宋简体" w:hAnsi="创艺简仿宋" w:eastAsia="方正仿宋简体"/>
      <w:sz w:val="24"/>
    </w:rPr>
  </w:style>
  <w:style w:type="paragraph" w:styleId="918">
    <w:name w:val="List Number 3"/>
    <w:basedOn w:val="896"/>
    <w:next w:val="895"/>
    <w:uiPriority w:val="99"/>
    <w:unhideWhenUsed/>
    <w:qFormat/>
    <w:pPr>
      <w:numPr>
        <w:ilvl w:val="0"/>
        <w:numId w:val="1"/>
      </w:numPr>
    </w:pPr>
  </w:style>
  <w:style w:type="paragraph" w:styleId="919">
    <w:name w:val="List 2"/>
    <w:basedOn w:val="896"/>
    <w:next w:val="908"/>
    <w:uiPriority w:val="0"/>
    <w:qFormat/>
    <w:pPr>
      <w:ind w:left="100" w:firstLine="3640"/>
      <w:spacing w:before="0" w:after="0" w:line="240" w:lineRule="auto"/>
    </w:pPr>
  </w:style>
  <w:style w:type="paragraph" w:styleId="920">
    <w:name w:val="Block Text"/>
    <w:basedOn w:val="895"/>
    <w:uiPriority w:val="0"/>
    <w:qFormat/>
    <w:pPr>
      <w:ind w:left="630" w:right="-609" w:firstLine="420"/>
      <w:spacing w:line="360" w:lineRule="auto"/>
    </w:pPr>
    <w:rPr>
      <w:rFonts w:ascii="仿宋_GB2312" w:eastAsia="仿宋_GB2312"/>
      <w:sz w:val="21"/>
    </w:rPr>
  </w:style>
  <w:style w:type="paragraph" w:styleId="921">
    <w:name w:val="index 4"/>
    <w:basedOn w:val="895"/>
    <w:next w:val="895"/>
    <w:uiPriority w:val="0"/>
    <w:qFormat/>
    <w:pPr>
      <w:ind w:left="1260"/>
    </w:pPr>
  </w:style>
  <w:style w:type="paragraph" w:styleId="922">
    <w:name w:val="toc 5"/>
    <w:basedOn w:val="895"/>
    <w:next w:val="895"/>
    <w:uiPriority w:val="0"/>
    <w:qFormat/>
    <w:pPr>
      <w:ind w:left="1680"/>
    </w:pPr>
  </w:style>
  <w:style w:type="paragraph" w:styleId="923">
    <w:name w:val="toc 3"/>
    <w:basedOn w:val="895"/>
    <w:next w:val="895"/>
    <w:uiPriority w:val="0"/>
    <w:qFormat/>
    <w:pPr>
      <w:ind w:left="840"/>
    </w:pPr>
  </w:style>
  <w:style w:type="paragraph" w:styleId="924">
    <w:name w:val="Plain Text"/>
    <w:basedOn w:val="895"/>
    <w:link w:val="988"/>
    <w:uiPriority w:val="0"/>
    <w:qFormat/>
    <w:rPr>
      <w:rFonts w:ascii="宋体" w:hAnsi="Courier New"/>
    </w:rPr>
  </w:style>
  <w:style w:type="paragraph" w:styleId="925">
    <w:name w:val="List Bullet 5"/>
    <w:basedOn w:val="896"/>
    <w:next w:val="926"/>
    <w:uiPriority w:val="99"/>
    <w:unhideWhenUsed/>
    <w:qFormat/>
    <w:pPr>
      <w:numPr>
        <w:ilvl w:val="0"/>
        <w:numId w:val="2"/>
      </w:numPr>
    </w:pPr>
  </w:style>
  <w:style w:type="paragraph" w:styleId="926" w:customStyle="1">
    <w:name w:val="正文首行缩进1"/>
    <w:next w:val="927"/>
    <w:uiPriority w:val="0"/>
    <w:qFormat/>
    <w:pPr>
      <w:ind w:left="420" w:firstLine="2724"/>
      <w:spacing w:after="120" w:line="360" w:lineRule="auto"/>
    </w:pPr>
    <w:rPr>
      <w:rFonts w:ascii="Calibri" w:hAnsi="Calibri" w:eastAsia="宋体" w:cs="Times New Roman"/>
      <w:lang w:val="en-US" w:eastAsia="zh-CN" w:bidi="ar-SA"/>
    </w:rPr>
  </w:style>
  <w:style w:type="paragraph" w:styleId="927" w:customStyle="1">
    <w:name w:val="列表编号 311"/>
    <w:basedOn w:val="928"/>
    <w:next w:val="895"/>
    <w:uiPriority w:val="99"/>
    <w:unhideWhenUsed/>
    <w:qFormat/>
    <w:pPr>
      <w:numPr>
        <w:ilvl w:val="0"/>
        <w:numId w:val="3"/>
      </w:numPr>
    </w:pPr>
  </w:style>
  <w:style w:type="paragraph" w:styleId="928" w:customStyle="1">
    <w:name w:val="标题 111"/>
    <w:basedOn w:val="929"/>
    <w:next w:val="895"/>
    <w:uiPriority w:val="9"/>
    <w:qFormat/>
    <w:pPr>
      <w:jc w:val="left"/>
      <w:keepLines/>
      <w:keepNext/>
      <w:outlineLvl w:val="0"/>
    </w:pPr>
    <w:rPr>
      <w:b/>
      <w:bCs/>
      <w:sz w:val="30"/>
      <w:szCs w:val="44"/>
    </w:rPr>
  </w:style>
  <w:style w:type="paragraph" w:styleId="929" w:customStyle="1">
    <w:name w:val="列出段落1"/>
    <w:basedOn w:val="895"/>
    <w:uiPriority w:val="34"/>
    <w:qFormat/>
    <w:pPr>
      <w:ind w:firstLine="420"/>
    </w:pPr>
  </w:style>
  <w:style w:type="paragraph" w:styleId="930">
    <w:name w:val="toc 8"/>
    <w:basedOn w:val="895"/>
    <w:next w:val="895"/>
    <w:uiPriority w:val="0"/>
    <w:qFormat/>
    <w:pPr>
      <w:ind w:left="2940"/>
    </w:pPr>
  </w:style>
  <w:style w:type="paragraph" w:styleId="931">
    <w:name w:val="index 3"/>
    <w:basedOn w:val="895"/>
    <w:next w:val="895"/>
    <w:uiPriority w:val="0"/>
    <w:qFormat/>
    <w:pPr>
      <w:ind w:left="840"/>
    </w:pPr>
  </w:style>
  <w:style w:type="paragraph" w:styleId="932">
    <w:name w:val="Date"/>
    <w:basedOn w:val="895"/>
    <w:next w:val="895"/>
    <w:link w:val="989"/>
    <w:uiPriority w:val="0"/>
    <w:qFormat/>
    <w:rPr>
      <w:rFonts w:ascii="宋体" w:hAnsi="宋体"/>
      <w:sz w:val="24"/>
    </w:rPr>
  </w:style>
  <w:style w:type="paragraph" w:styleId="933">
    <w:name w:val="Body Text Indent 2"/>
    <w:basedOn w:val="895"/>
    <w:link w:val="990"/>
    <w:uiPriority w:val="0"/>
    <w:qFormat/>
    <w:pPr>
      <w:ind w:firstLine="502"/>
      <w:spacing w:line="360" w:lineRule="auto"/>
      <w:tabs>
        <w:tab w:val="left" w:pos="0" w:leader="none"/>
      </w:tabs>
    </w:pPr>
    <w:rPr>
      <w:rFonts w:ascii="宋体" w:eastAsia="宋体"/>
      <w:b/>
      <w:bCs/>
      <w:sz w:val="24"/>
    </w:rPr>
  </w:style>
  <w:style w:type="paragraph" w:styleId="934">
    <w:name w:val="Balloon Text"/>
    <w:basedOn w:val="895"/>
    <w:link w:val="991"/>
    <w:uiPriority w:val="0"/>
    <w:qFormat/>
    <w:rPr>
      <w:sz w:val="18"/>
      <w:szCs w:val="18"/>
    </w:rPr>
  </w:style>
  <w:style w:type="paragraph" w:styleId="935">
    <w:name w:val="Footer"/>
    <w:basedOn w:val="895"/>
    <w:link w:val="992"/>
    <w:uiPriority w:val="99"/>
    <w:qFormat/>
    <w:pPr>
      <w:jc w:val="left"/>
      <w:tabs>
        <w:tab w:val="center" w:pos="4153" w:leader="none"/>
        <w:tab w:val="right" w:pos="8306" w:leader="none"/>
      </w:tabs>
    </w:pPr>
    <w:rPr>
      <w:rFonts w:ascii="Tahoma" w:hAnsi="Tahoma" w:eastAsia="宋体"/>
      <w:sz w:val="18"/>
      <w:szCs w:val="18"/>
    </w:rPr>
  </w:style>
  <w:style w:type="paragraph" w:styleId="936">
    <w:name w:val="envelope return"/>
    <w:basedOn w:val="895"/>
    <w:uiPriority w:val="0"/>
    <w:qFormat/>
    <w:rPr>
      <w:rFonts w:ascii="Arial" w:hAnsi="Arial"/>
    </w:rPr>
  </w:style>
  <w:style w:type="paragraph" w:styleId="937">
    <w:name w:val="Header"/>
    <w:basedOn w:val="895"/>
    <w:link w:val="993"/>
    <w:uiPriority w:val="0"/>
    <w:qFormat/>
    <w:pPr>
      <w:jc w:val="center"/>
      <w:tabs>
        <w:tab w:val="center" w:pos="4153" w:leader="none"/>
        <w:tab w:val="right" w:pos="8306" w:leader="none"/>
      </w:tabs>
      <w:pBdr>
        <w:bottom w:val="single" w:color="auto" w:sz="6" w:space="1"/>
      </w:pBdr>
    </w:pPr>
    <w:rPr>
      <w:rFonts w:ascii="Tahoma" w:hAnsi="Tahoma" w:eastAsia="宋体"/>
      <w:sz w:val="18"/>
      <w:szCs w:val="18"/>
    </w:rPr>
  </w:style>
  <w:style w:type="paragraph" w:styleId="938">
    <w:name w:val="toc 1"/>
    <w:basedOn w:val="895"/>
    <w:next w:val="895"/>
    <w:uiPriority w:val="0"/>
    <w:qFormat/>
    <w:pPr>
      <w:ind w:firstLine="751"/>
      <w:jc w:val="left"/>
      <w:spacing w:line="360" w:lineRule="auto"/>
      <w:tabs>
        <w:tab w:val="right" w:pos="9538" w:leader="dot"/>
      </w:tabs>
    </w:pPr>
    <w:rPr>
      <w:sz w:val="24"/>
    </w:rPr>
  </w:style>
  <w:style w:type="paragraph" w:styleId="939">
    <w:name w:val="toc 4"/>
    <w:basedOn w:val="895"/>
    <w:next w:val="895"/>
    <w:uiPriority w:val="0"/>
    <w:qFormat/>
    <w:pPr>
      <w:ind w:left="1260"/>
    </w:pPr>
  </w:style>
  <w:style w:type="paragraph" w:styleId="940">
    <w:name w:val="index heading"/>
    <w:basedOn w:val="895"/>
    <w:next w:val="941"/>
    <w:uiPriority w:val="0"/>
    <w:qFormat/>
  </w:style>
  <w:style w:type="paragraph" w:styleId="941">
    <w:name w:val="index 1"/>
    <w:basedOn w:val="895"/>
    <w:next w:val="895"/>
    <w:uiPriority w:val="0"/>
    <w:qFormat/>
  </w:style>
  <w:style w:type="paragraph" w:styleId="942">
    <w:name w:val="footnote text"/>
    <w:basedOn w:val="895"/>
    <w:link w:val="994"/>
    <w:uiPriority w:val="0"/>
    <w:qFormat/>
    <w:pPr>
      <w:jc w:val="left"/>
    </w:pPr>
    <w:rPr>
      <w:sz w:val="18"/>
    </w:rPr>
  </w:style>
  <w:style w:type="paragraph" w:styleId="943">
    <w:name w:val="toc 6"/>
    <w:basedOn w:val="895"/>
    <w:next w:val="895"/>
    <w:uiPriority w:val="0"/>
    <w:qFormat/>
    <w:pPr>
      <w:ind w:left="2100"/>
    </w:pPr>
  </w:style>
  <w:style w:type="paragraph" w:styleId="944">
    <w:name w:val="Body Text Indent 3"/>
    <w:basedOn w:val="895"/>
    <w:link w:val="995"/>
    <w:uiPriority w:val="0"/>
    <w:qFormat/>
    <w:pPr>
      <w:ind w:firstLine="617"/>
      <w:spacing w:line="360" w:lineRule="auto"/>
    </w:pPr>
    <w:rPr>
      <w:rFonts w:eastAsia="宋体"/>
      <w:sz w:val="24"/>
      <w:szCs w:val="24"/>
    </w:rPr>
  </w:style>
  <w:style w:type="paragraph" w:styleId="945">
    <w:name w:val="index 7"/>
    <w:basedOn w:val="895"/>
    <w:next w:val="895"/>
    <w:uiPriority w:val="0"/>
    <w:qFormat/>
    <w:pPr>
      <w:ind w:left="2520"/>
    </w:pPr>
  </w:style>
  <w:style w:type="paragraph" w:styleId="946">
    <w:name w:val="index 9"/>
    <w:basedOn w:val="895"/>
    <w:next w:val="895"/>
    <w:uiPriority w:val="0"/>
    <w:qFormat/>
    <w:pPr>
      <w:ind w:left="3360"/>
    </w:pPr>
  </w:style>
  <w:style w:type="paragraph" w:styleId="947">
    <w:name w:val="table of figures"/>
    <w:basedOn w:val="895"/>
    <w:next w:val="895"/>
    <w:uiPriority w:val="0"/>
    <w:qFormat/>
    <w:pPr>
      <w:ind w:left="420" w:hanging="420"/>
      <w:jc w:val="left"/>
    </w:pPr>
    <w:rPr>
      <w:smallCaps/>
      <w:sz w:val="24"/>
    </w:rPr>
  </w:style>
  <w:style w:type="paragraph" w:styleId="948">
    <w:name w:val="toc 2"/>
    <w:basedOn w:val="895"/>
    <w:next w:val="895"/>
    <w:uiPriority w:val="0"/>
    <w:qFormat/>
    <w:pPr>
      <w:ind w:left="420"/>
    </w:pPr>
  </w:style>
  <w:style w:type="paragraph" w:styleId="949">
    <w:name w:val="toc 9"/>
    <w:basedOn w:val="895"/>
    <w:next w:val="895"/>
    <w:uiPriority w:val="0"/>
    <w:qFormat/>
    <w:pPr>
      <w:ind w:left="3360"/>
    </w:pPr>
  </w:style>
  <w:style w:type="paragraph" w:styleId="950">
    <w:name w:val="HTML Preformatted"/>
    <w:basedOn w:val="895"/>
    <w:link w:val="9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51">
    <w:name w:val="Normal (Web)"/>
    <w:basedOn w:val="895"/>
    <w:next w:val="919"/>
    <w:uiPriority w:val="99"/>
    <w:qFormat/>
    <w:pPr>
      <w:jc w:val="left"/>
      <w:spacing w:before="100" w:beforeAutospacing="1" w:after="100" w:afterAutospacing="1"/>
      <w:widowControl/>
    </w:pPr>
    <w:rPr>
      <w:rFonts w:hint="eastAsia" w:ascii="宋体" w:hAnsi="宋体" w:eastAsia="宋体"/>
      <w:sz w:val="24"/>
      <w:szCs w:val="24"/>
    </w:rPr>
  </w:style>
  <w:style w:type="paragraph" w:styleId="952">
    <w:name w:val="index 2"/>
    <w:basedOn w:val="895"/>
    <w:next w:val="895"/>
    <w:uiPriority w:val="0"/>
    <w:qFormat/>
    <w:pPr>
      <w:ind w:left="420"/>
    </w:pPr>
  </w:style>
  <w:style w:type="paragraph" w:styleId="953">
    <w:name w:val="annotation subject"/>
    <w:basedOn w:val="914"/>
    <w:next w:val="914"/>
    <w:link w:val="997"/>
    <w:uiPriority w:val="0"/>
    <w:qFormat/>
    <w:rPr>
      <w:b/>
      <w:bCs/>
    </w:rPr>
  </w:style>
  <w:style w:type="paragraph" w:styleId="954">
    <w:name w:val="Body Text First Indent"/>
    <w:basedOn w:val="916"/>
    <w:link w:val="998"/>
    <w:uiPriority w:val="0"/>
    <w:qFormat/>
    <w:pPr>
      <w:ind w:firstLine="420"/>
      <w:spacing w:after="120" w:line="240" w:lineRule="auto"/>
    </w:pPr>
    <w:rPr>
      <w:rFonts w:ascii="Times New Roman"/>
      <w:sz w:val="26"/>
    </w:rPr>
  </w:style>
  <w:style w:type="paragraph" w:styleId="955">
    <w:name w:val="Body Text First Indent 2"/>
    <w:basedOn w:val="917"/>
    <w:uiPriority w:val="0"/>
    <w:qFormat/>
    <w:pPr>
      <w:ind w:firstLine="420"/>
    </w:pPr>
  </w:style>
  <w:style w:type="table" w:styleId="956">
    <w:name w:val="Table Grid"/>
    <w:basedOn w:val="906"/>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7">
    <w:name w:val="Strong"/>
    <w:uiPriority w:val="0"/>
    <w:qFormat/>
    <w:rPr>
      <w:rFonts w:ascii="Tahoma" w:hAnsi="Tahoma" w:eastAsia="宋体"/>
      <w:b/>
      <w:sz w:val="24"/>
    </w:rPr>
  </w:style>
  <w:style w:type="character" w:styleId="958">
    <w:name w:val="page number"/>
    <w:uiPriority w:val="0"/>
    <w:qFormat/>
  </w:style>
  <w:style w:type="character" w:styleId="959">
    <w:name w:val="FollowedHyperlink"/>
    <w:uiPriority w:val="0"/>
    <w:qFormat/>
    <w:rPr>
      <w:color w:val="800080"/>
      <w:u w:val="none"/>
    </w:rPr>
  </w:style>
  <w:style w:type="character" w:styleId="960">
    <w:name w:val="Emphasis"/>
    <w:uiPriority w:val="20"/>
    <w:qFormat/>
    <w:rPr>
      <w:b/>
      <w:bCs/>
    </w:rPr>
  </w:style>
  <w:style w:type="character" w:styleId="961">
    <w:name w:val="HTML Definition"/>
    <w:uiPriority w:val="99"/>
    <w:unhideWhenUsed/>
    <w:qFormat/>
  </w:style>
  <w:style w:type="character" w:styleId="962">
    <w:name w:val="HTML Typewriter"/>
    <w:uiPriority w:val="99"/>
    <w:unhideWhenUsed/>
    <w:qFormat/>
    <w:rPr>
      <w:rFonts w:hint="default" w:ascii="monospace" w:hAnsi="monospace" w:eastAsia="monospace" w:cs="monospace"/>
      <w:sz w:val="20"/>
    </w:rPr>
  </w:style>
  <w:style w:type="character" w:styleId="963">
    <w:name w:val="HTML Acronym"/>
    <w:uiPriority w:val="99"/>
    <w:unhideWhenUsed/>
    <w:qFormat/>
  </w:style>
  <w:style w:type="character" w:styleId="964">
    <w:name w:val="HTML Variable"/>
    <w:uiPriority w:val="99"/>
    <w:unhideWhenUsed/>
    <w:qFormat/>
  </w:style>
  <w:style w:type="character" w:styleId="965">
    <w:name w:val="Hyperlink"/>
    <w:uiPriority w:val="0"/>
    <w:qFormat/>
    <w:rPr>
      <w:color w:val="0000ff"/>
      <w:u w:val="none"/>
    </w:rPr>
  </w:style>
  <w:style w:type="character" w:styleId="966">
    <w:name w:val="HTML Code"/>
    <w:uiPriority w:val="99"/>
    <w:unhideWhenUsed/>
    <w:qFormat/>
    <w:rPr>
      <w:rFonts w:hint="default" w:ascii="monospace" w:hAnsi="monospace" w:eastAsia="monospace" w:cs="monospace"/>
      <w:sz w:val="20"/>
    </w:rPr>
  </w:style>
  <w:style w:type="character" w:styleId="967">
    <w:name w:val="annotation reference"/>
    <w:uiPriority w:val="0"/>
    <w:qFormat/>
    <w:rPr>
      <w:sz w:val="21"/>
      <w:szCs w:val="21"/>
    </w:rPr>
  </w:style>
  <w:style w:type="character" w:styleId="968">
    <w:name w:val="HTML Cite"/>
    <w:uiPriority w:val="99"/>
    <w:unhideWhenUsed/>
    <w:qFormat/>
  </w:style>
  <w:style w:type="character" w:styleId="969">
    <w:name w:val="footnote reference"/>
    <w:uiPriority w:val="0"/>
    <w:qFormat/>
    <w:rPr>
      <w:vertAlign w:val="superscript"/>
    </w:rPr>
  </w:style>
  <w:style w:type="character" w:styleId="970">
    <w:name w:val="HTML Keyboard"/>
    <w:uiPriority w:val="99"/>
    <w:unhideWhenUsed/>
    <w:qFormat/>
    <w:rPr>
      <w:rFonts w:ascii="monospace" w:hAnsi="monospace" w:eastAsia="monospace" w:cs="monospace"/>
      <w:sz w:val="20"/>
    </w:rPr>
  </w:style>
  <w:style w:type="character" w:styleId="971">
    <w:name w:val="HTML Sample"/>
    <w:uiPriority w:val="99"/>
    <w:unhideWhenUsed/>
    <w:qFormat/>
    <w:rPr>
      <w:rFonts w:hint="default" w:ascii="monospace" w:hAnsi="monospace" w:eastAsia="monospace" w:cs="monospace"/>
    </w:rPr>
  </w:style>
  <w:style w:type="paragraph" w:styleId="972" w:customStyle="1">
    <w:name w:val="正文文本缩进1"/>
    <w:basedOn w:val="895"/>
    <w:next w:val="895"/>
    <w:uiPriority w:val="99"/>
    <w:qFormat/>
    <w:pPr>
      <w:ind w:left="420"/>
      <w:spacing w:after="120"/>
    </w:pPr>
    <w:rPr>
      <w:sz w:val="24"/>
    </w:rPr>
  </w:style>
  <w:style w:type="paragraph" w:styleId="973" w:customStyle="1">
    <w:name w:val="段"/>
    <w:next w:val="895"/>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974" w:customStyle="1">
    <w:name w:val="标题 1 字符"/>
    <w:link w:val="896"/>
    <w:uiPriority w:val="0"/>
    <w:qFormat/>
    <w:rPr>
      <w:rFonts w:ascii="Times New Roman" w:hAnsi="Times New Roman" w:eastAsia="楷体_GB2312" w:cs="Times New Roman"/>
      <w:b/>
      <w:sz w:val="44"/>
      <w:szCs w:val="20"/>
    </w:rPr>
  </w:style>
  <w:style w:type="character" w:styleId="975" w:customStyle="1">
    <w:name w:val="标题 2 字符"/>
    <w:link w:val="897"/>
    <w:uiPriority w:val="0"/>
    <w:qFormat/>
    <w:rPr>
      <w:rFonts w:ascii="宋体" w:hAnsi="宋体" w:eastAsia="楷体_GB2312" w:cs="Times New Roman"/>
      <w:b/>
      <w:sz w:val="26"/>
      <w:szCs w:val="20"/>
    </w:rPr>
  </w:style>
  <w:style w:type="character" w:styleId="976" w:customStyle="1">
    <w:name w:val="标题 3 字符"/>
    <w:link w:val="898"/>
    <w:uiPriority w:val="0"/>
    <w:qFormat/>
    <w:rPr>
      <w:rFonts w:ascii="Times New Roman" w:hAnsi="Times New Roman" w:eastAsia="楷体_GB2312" w:cs="Times New Roman"/>
      <w:b/>
      <w:sz w:val="26"/>
      <w:szCs w:val="20"/>
    </w:rPr>
  </w:style>
  <w:style w:type="character" w:styleId="977" w:customStyle="1">
    <w:name w:val="标题 4 字符"/>
    <w:link w:val="899"/>
    <w:uiPriority w:val="0"/>
    <w:qFormat/>
    <w:rPr>
      <w:rFonts w:ascii="Arial" w:hAnsi="Arial" w:eastAsia="黑体" w:cs="Times New Roman"/>
      <w:b/>
      <w:bCs/>
      <w:sz w:val="28"/>
      <w:szCs w:val="28"/>
    </w:rPr>
  </w:style>
  <w:style w:type="character" w:styleId="978" w:customStyle="1">
    <w:name w:val="标题 5 字符"/>
    <w:link w:val="900"/>
    <w:uiPriority w:val="0"/>
    <w:qFormat/>
    <w:rPr>
      <w:rFonts w:ascii="宋体" w:hAnsi="Tms Rmn" w:eastAsia="宋体" w:cs="Times New Roman"/>
      <w:b/>
      <w:sz w:val="28"/>
      <w:szCs w:val="20"/>
    </w:rPr>
  </w:style>
  <w:style w:type="character" w:styleId="979" w:customStyle="1">
    <w:name w:val="标题 6 字符"/>
    <w:link w:val="901"/>
    <w:uiPriority w:val="0"/>
    <w:qFormat/>
    <w:rPr>
      <w:rFonts w:ascii="黑体" w:hAnsi="Tms Rmn" w:eastAsia="黑体" w:cs="Times New Roman"/>
      <w:b/>
      <w:sz w:val="24"/>
      <w:szCs w:val="20"/>
    </w:rPr>
  </w:style>
  <w:style w:type="character" w:styleId="980" w:customStyle="1">
    <w:name w:val="标题 7 字符"/>
    <w:link w:val="902"/>
    <w:uiPriority w:val="0"/>
    <w:qFormat/>
    <w:rPr>
      <w:rFonts w:ascii="宋体" w:hAnsi="Tms Rmn" w:eastAsia="宋体" w:cs="Times New Roman"/>
      <w:b/>
      <w:sz w:val="24"/>
      <w:szCs w:val="20"/>
    </w:rPr>
  </w:style>
  <w:style w:type="character" w:styleId="981" w:customStyle="1">
    <w:name w:val="标题 8 字符"/>
    <w:link w:val="903"/>
    <w:uiPriority w:val="0"/>
    <w:qFormat/>
    <w:rPr>
      <w:rFonts w:ascii="Arial" w:hAnsi="Arial" w:eastAsia="黑体" w:cs="Times New Roman"/>
      <w:sz w:val="24"/>
      <w:szCs w:val="24"/>
    </w:rPr>
  </w:style>
  <w:style w:type="character" w:styleId="982" w:customStyle="1">
    <w:name w:val="标题 9 字符"/>
    <w:link w:val="904"/>
    <w:uiPriority w:val="0"/>
    <w:qFormat/>
    <w:rPr>
      <w:rFonts w:ascii="Arial" w:hAnsi="Arial" w:eastAsia="黑体" w:cs="Times New Roman"/>
      <w:sz w:val="24"/>
      <w:szCs w:val="21"/>
    </w:rPr>
  </w:style>
  <w:style w:type="character" w:styleId="983" w:customStyle="1">
    <w:name w:val="正文缩进 字符"/>
    <w:link w:val="911"/>
    <w:uiPriority w:val="0"/>
    <w:qFormat/>
    <w:rPr>
      <w:rFonts w:eastAsia="楷体_GB2312"/>
      <w:sz w:val="24"/>
    </w:rPr>
  </w:style>
  <w:style w:type="character" w:styleId="984" w:customStyle="1">
    <w:name w:val="文档结构图 字符"/>
    <w:link w:val="913"/>
    <w:uiPriority w:val="0"/>
    <w:qFormat/>
    <w:rPr>
      <w:rFonts w:ascii="Times New Roman" w:hAnsi="Times New Roman" w:eastAsia="宋体" w:cs="Times New Roman"/>
      <w:sz w:val="24"/>
      <w:szCs w:val="20"/>
      <w:shd w:val="clear" w:color="auto" w:fill="000080"/>
    </w:rPr>
  </w:style>
  <w:style w:type="character" w:styleId="985" w:customStyle="1">
    <w:name w:val="批注文字 字符1"/>
    <w:link w:val="914"/>
    <w:uiPriority w:val="0"/>
    <w:qFormat/>
    <w:rPr>
      <w:rFonts w:ascii="Times New Roman" w:hAnsi="Times New Roman" w:eastAsia="楷体_GB2312" w:cs="Times New Roman"/>
      <w:sz w:val="26"/>
      <w:szCs w:val="20"/>
    </w:rPr>
  </w:style>
  <w:style w:type="character" w:styleId="986" w:customStyle="1">
    <w:name w:val="正文文本 字符"/>
    <w:link w:val="916"/>
    <w:uiPriority w:val="0"/>
    <w:qFormat/>
    <w:rPr>
      <w:rFonts w:ascii="楷体_GB2312" w:hAnsi="Times New Roman" w:eastAsia="楷体_GB2312" w:cs="Times New Roman"/>
      <w:sz w:val="28"/>
      <w:szCs w:val="20"/>
    </w:rPr>
  </w:style>
  <w:style w:type="character" w:styleId="987" w:customStyle="1">
    <w:name w:val="正文文本缩进 字符"/>
    <w:link w:val="917"/>
    <w:uiPriority w:val="0"/>
    <w:qFormat/>
    <w:rPr>
      <w:rFonts w:ascii="方正仿宋简体" w:hAnsi="创艺简仿宋" w:eastAsia="方正仿宋简体" w:cs="Times New Roman"/>
      <w:sz w:val="24"/>
      <w:szCs w:val="20"/>
    </w:rPr>
  </w:style>
  <w:style w:type="character" w:styleId="988" w:customStyle="1">
    <w:name w:val="纯文本 字符"/>
    <w:link w:val="924"/>
    <w:uiPriority w:val="0"/>
    <w:qFormat/>
    <w:rPr>
      <w:rFonts w:ascii="宋体" w:hAnsi="Courier New" w:eastAsia="楷体_GB2312"/>
      <w:sz w:val="26"/>
    </w:rPr>
  </w:style>
  <w:style w:type="character" w:styleId="989" w:customStyle="1">
    <w:name w:val="日期 字符"/>
    <w:link w:val="932"/>
    <w:uiPriority w:val="0"/>
    <w:qFormat/>
    <w:rPr>
      <w:rFonts w:ascii="宋体" w:hAnsi="宋体" w:eastAsia="楷体_GB2312" w:cs="Times New Roman"/>
      <w:sz w:val="24"/>
      <w:szCs w:val="20"/>
    </w:rPr>
  </w:style>
  <w:style w:type="character" w:styleId="990" w:customStyle="1">
    <w:name w:val="正文文本缩进 2 字符"/>
    <w:link w:val="933"/>
    <w:uiPriority w:val="0"/>
    <w:qFormat/>
    <w:rPr>
      <w:rFonts w:ascii="宋体" w:hAnsi="Times New Roman" w:eastAsia="宋体" w:cs="Times New Roman"/>
      <w:b/>
      <w:bCs/>
      <w:sz w:val="24"/>
      <w:szCs w:val="20"/>
    </w:rPr>
  </w:style>
  <w:style w:type="character" w:styleId="991" w:customStyle="1">
    <w:name w:val="批注框文本 字符"/>
    <w:link w:val="934"/>
    <w:uiPriority w:val="0"/>
    <w:qFormat/>
    <w:rPr>
      <w:rFonts w:ascii="Times New Roman" w:hAnsi="Times New Roman" w:eastAsia="楷体_GB2312" w:cs="Times New Roman"/>
      <w:sz w:val="18"/>
      <w:szCs w:val="18"/>
    </w:rPr>
  </w:style>
  <w:style w:type="character" w:styleId="992" w:customStyle="1">
    <w:name w:val="页脚 字符"/>
    <w:link w:val="935"/>
    <w:uiPriority w:val="99"/>
    <w:qFormat/>
    <w:rPr>
      <w:rFonts w:ascii="Tahoma" w:hAnsi="Tahoma" w:eastAsia="宋体"/>
      <w:sz w:val="18"/>
      <w:szCs w:val="18"/>
    </w:rPr>
  </w:style>
  <w:style w:type="character" w:styleId="993" w:customStyle="1">
    <w:name w:val="页眉 字符"/>
    <w:link w:val="937"/>
    <w:uiPriority w:val="0"/>
    <w:qFormat/>
    <w:rPr>
      <w:rFonts w:ascii="Tahoma" w:hAnsi="Tahoma" w:eastAsia="宋体"/>
      <w:sz w:val="18"/>
      <w:szCs w:val="18"/>
    </w:rPr>
  </w:style>
  <w:style w:type="character" w:styleId="994" w:customStyle="1">
    <w:name w:val="脚注文本 字符"/>
    <w:link w:val="942"/>
    <w:uiPriority w:val="0"/>
    <w:qFormat/>
    <w:rPr>
      <w:rFonts w:ascii="Times New Roman" w:hAnsi="Times New Roman" w:eastAsia="楷体_GB2312" w:cs="Times New Roman"/>
      <w:sz w:val="18"/>
      <w:szCs w:val="20"/>
    </w:rPr>
  </w:style>
  <w:style w:type="character" w:styleId="995" w:customStyle="1">
    <w:name w:val="正文文本缩进 3 字符"/>
    <w:link w:val="944"/>
    <w:uiPriority w:val="0"/>
    <w:qFormat/>
    <w:rPr>
      <w:rFonts w:ascii="Times New Roman" w:hAnsi="Times New Roman" w:eastAsia="宋体" w:cs="Times New Roman"/>
      <w:sz w:val="24"/>
      <w:szCs w:val="24"/>
    </w:rPr>
  </w:style>
  <w:style w:type="character" w:styleId="996" w:customStyle="1">
    <w:name w:val="HTML 预设格式 字符"/>
    <w:link w:val="950"/>
    <w:uiPriority w:val="0"/>
    <w:qFormat/>
    <w:rPr>
      <w:rFonts w:ascii="黑体" w:hAnsi="Courier New" w:eastAsia="黑体" w:cs="楷体_GB2312"/>
      <w:sz w:val="20"/>
      <w:szCs w:val="20"/>
    </w:rPr>
  </w:style>
  <w:style w:type="character" w:styleId="997" w:customStyle="1">
    <w:name w:val="批注主题 字符"/>
    <w:link w:val="953"/>
    <w:uiPriority w:val="0"/>
    <w:qFormat/>
    <w:rPr>
      <w:rFonts w:ascii="Times New Roman" w:hAnsi="Times New Roman" w:eastAsia="楷体_GB2312" w:cs="Times New Roman"/>
      <w:b/>
      <w:bCs/>
      <w:sz w:val="26"/>
      <w:szCs w:val="20"/>
    </w:rPr>
  </w:style>
  <w:style w:type="character" w:styleId="998" w:customStyle="1">
    <w:name w:val="正文文本首行缩进 字符"/>
    <w:link w:val="954"/>
    <w:uiPriority w:val="0"/>
    <w:qFormat/>
    <w:rPr>
      <w:rFonts w:ascii="Times New Roman" w:hAnsi="Times New Roman" w:eastAsia="楷体_GB2312" w:cs="Times New Roman"/>
      <w:sz w:val="26"/>
      <w:szCs w:val="20"/>
    </w:rPr>
  </w:style>
  <w:style w:type="character" w:styleId="999" w:customStyle="1">
    <w:name w:val="font121"/>
    <w:uiPriority w:val="0"/>
    <w:qFormat/>
    <w:rPr>
      <w:rFonts w:hint="default" w:ascii="微软雅黑" w:hAnsi="微软雅黑" w:eastAsia="微软雅黑" w:cs="微软雅黑"/>
      <w:color w:val="000000"/>
      <w:sz w:val="21"/>
      <w:szCs w:val="21"/>
      <w:u w:val="none"/>
    </w:rPr>
  </w:style>
  <w:style w:type="character" w:styleId="1000" w:customStyle="1">
    <w:name w:val="font91"/>
    <w:uiPriority w:val="0"/>
    <w:qFormat/>
    <w:rPr>
      <w:rFonts w:hint="default" w:ascii="微软雅黑" w:hAnsi="微软雅黑" w:eastAsia="微软雅黑" w:cs="微软雅黑"/>
      <w:color w:val="ff0000"/>
      <w:sz w:val="21"/>
      <w:szCs w:val="21"/>
      <w:u w:val="none"/>
    </w:rPr>
  </w:style>
  <w:style w:type="character" w:styleId="1001" w:customStyle="1">
    <w:name w:val="font191"/>
    <w:uiPriority w:val="0"/>
    <w:qFormat/>
    <w:rPr>
      <w:rFonts w:hint="eastAsia" w:ascii="宋体" w:hAnsi="宋体" w:eastAsia="宋体" w:cs="宋体"/>
      <w:color w:val="000000"/>
      <w:sz w:val="21"/>
      <w:szCs w:val="21"/>
      <w:u w:val="none"/>
    </w:rPr>
  </w:style>
  <w:style w:type="character" w:styleId="1002" w:customStyle="1">
    <w:name w:val="纯文本 Char1"/>
    <w:uiPriority w:val="0"/>
    <w:qFormat/>
    <w:rPr>
      <w:rFonts w:ascii="宋体" w:hAnsi="Courier New" w:eastAsia="宋体" w:cs="Courier New"/>
      <w:sz w:val="24"/>
      <w:szCs w:val="21"/>
    </w:rPr>
  </w:style>
  <w:style w:type="character" w:styleId="1003" w:customStyle="1">
    <w:name w:val="font161"/>
    <w:uiPriority w:val="0"/>
    <w:qFormat/>
    <w:rPr>
      <w:rFonts w:hint="eastAsia" w:ascii="宋体" w:hAnsi="宋体" w:eastAsia="宋体" w:cs="宋体"/>
      <w:color w:val="333333"/>
      <w:sz w:val="20"/>
      <w:szCs w:val="20"/>
      <w:u w:val="none"/>
    </w:rPr>
  </w:style>
  <w:style w:type="character" w:styleId="1004" w:customStyle="1">
    <w:name w:val="font51"/>
    <w:uiPriority w:val="0"/>
    <w:qFormat/>
    <w:rPr>
      <w:rFonts w:hint="default" w:ascii="Times New Roman" w:hAnsi="Times New Roman" w:eastAsia="宋体" w:cs="Times New Roman"/>
      <w:color w:val="000000"/>
      <w:sz w:val="21"/>
      <w:szCs w:val="21"/>
      <w:u w:val="none"/>
    </w:rPr>
  </w:style>
  <w:style w:type="character" w:styleId="1005" w:customStyle="1">
    <w:name w:val="font101"/>
    <w:uiPriority w:val="0"/>
    <w:qFormat/>
    <w:rPr>
      <w:rFonts w:hint="eastAsia" w:ascii="宋体" w:hAnsi="宋体" w:eastAsia="宋体" w:cs="宋体"/>
      <w:color w:val="000000"/>
      <w:sz w:val="21"/>
      <w:szCs w:val="21"/>
      <w:u w:val="none"/>
    </w:rPr>
  </w:style>
  <w:style w:type="character" w:styleId="1006" w:customStyle="1">
    <w:name w:val="font151"/>
    <w:uiPriority w:val="0"/>
    <w:qFormat/>
    <w:rPr>
      <w:rFonts w:hint="default" w:ascii="Times New Roman" w:hAnsi="Times New Roman" w:eastAsia="宋体" w:cs="Times New Roman"/>
      <w:color w:val="dd0806"/>
      <w:sz w:val="21"/>
      <w:szCs w:val="21"/>
      <w:u w:val="none"/>
    </w:rPr>
  </w:style>
  <w:style w:type="character" w:styleId="1007" w:customStyle="1">
    <w:name w:val="font31"/>
    <w:uiPriority w:val="0"/>
    <w:qFormat/>
    <w:rPr>
      <w:rFonts w:ascii="微软雅黑" w:hAnsi="微软雅黑" w:eastAsia="微软雅黑" w:cs="微软雅黑"/>
      <w:color w:val="000000"/>
      <w:sz w:val="21"/>
      <w:szCs w:val="21"/>
      <w:u w:val="none"/>
    </w:rPr>
  </w:style>
  <w:style w:type="character" w:styleId="1008" w:customStyle="1">
    <w:name w:val="mini-outputtext1"/>
    <w:uiPriority w:val="0"/>
    <w:qFormat/>
  </w:style>
  <w:style w:type="character" w:styleId="1009" w:customStyle="1">
    <w:name w:val="Plain Text Char1"/>
    <w:link w:val="1010"/>
    <w:uiPriority w:val="0"/>
    <w:qFormat/>
    <w:rPr>
      <w:rFonts w:ascii="宋体" w:hAnsi="Courier New" w:eastAsia="楷体_GB2312"/>
      <w:sz w:val="26"/>
    </w:rPr>
  </w:style>
  <w:style w:type="paragraph" w:styleId="1010" w:customStyle="1">
    <w:name w:val="纯文本1"/>
    <w:basedOn w:val="895"/>
    <w:link w:val="1009"/>
    <w:uiPriority w:val="0"/>
    <w:qFormat/>
    <w:rPr>
      <w:rFonts w:ascii="宋体" w:hAnsi="Courier New"/>
    </w:rPr>
  </w:style>
  <w:style w:type="character" w:styleId="1011" w:customStyle="1">
    <w:name w:val="font71"/>
    <w:uiPriority w:val="0"/>
    <w:qFormat/>
    <w:rPr>
      <w:rFonts w:hint="default" w:ascii="Times New Roman" w:hAnsi="Times New Roman" w:eastAsia="宋体" w:cs="Times New Roman"/>
      <w:color w:val="000000"/>
      <w:sz w:val="21"/>
      <w:szCs w:val="21"/>
      <w:u w:val="none"/>
    </w:rPr>
  </w:style>
  <w:style w:type="character" w:styleId="1012" w:customStyle="1">
    <w:name w:val="批注文字 字符"/>
    <w:uiPriority w:val="0"/>
    <w:qFormat/>
    <w:rPr>
      <w:rFonts w:ascii="Times New Roman" w:hAnsi="Times New Roman" w:eastAsia="楷体_GB2312" w:cs="Times New Roman"/>
      <w:sz w:val="26"/>
      <w:szCs w:val="20"/>
    </w:rPr>
  </w:style>
  <w:style w:type="character" w:styleId="1013" w:customStyle="1">
    <w:name w:val="font81"/>
    <w:uiPriority w:val="0"/>
    <w:qFormat/>
    <w:rPr>
      <w:rFonts w:ascii="微软雅黑" w:hAnsi="微软雅黑" w:eastAsia="微软雅黑" w:cs="微软雅黑"/>
      <w:color w:val="000000"/>
      <w:sz w:val="21"/>
      <w:szCs w:val="21"/>
      <w:u w:val="none"/>
    </w:rPr>
  </w:style>
  <w:style w:type="character" w:styleId="1014"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015" w:customStyle="1">
    <w:name w:val="apple-style-span"/>
    <w:uiPriority w:val="0"/>
    <w:qFormat/>
  </w:style>
  <w:style w:type="character" w:styleId="1016" w:customStyle="1">
    <w:name w:val="font21"/>
    <w:uiPriority w:val="0"/>
    <w:qFormat/>
    <w:rPr>
      <w:rFonts w:hint="eastAsia" w:ascii="宋体" w:hAnsi="宋体" w:eastAsia="宋体" w:cs="宋体"/>
      <w:b/>
      <w:color w:val="000000"/>
      <w:sz w:val="22"/>
      <w:szCs w:val="22"/>
      <w:u w:val="none"/>
    </w:rPr>
  </w:style>
  <w:style w:type="character" w:styleId="1017" w:customStyle="1">
    <w:name w:val="hover2"/>
    <w:uiPriority w:val="0"/>
    <w:qFormat/>
    <w:rPr>
      <w:color w:val="2590eb"/>
    </w:rPr>
  </w:style>
  <w:style w:type="character" w:styleId="1018" w:customStyle="1">
    <w:name w:val="font171"/>
    <w:uiPriority w:val="0"/>
    <w:qFormat/>
    <w:rPr>
      <w:rFonts w:hint="default" w:ascii="微软雅黑" w:hAnsi="微软雅黑" w:eastAsia="微软雅黑" w:cs="微软雅黑"/>
      <w:color w:val="000000"/>
      <w:sz w:val="21"/>
      <w:szCs w:val="21"/>
      <w:u w:val="none"/>
    </w:rPr>
  </w:style>
  <w:style w:type="character" w:styleId="1019" w:customStyle="1">
    <w:name w:val="font01"/>
    <w:uiPriority w:val="0"/>
    <w:qFormat/>
    <w:rPr>
      <w:rFonts w:hint="eastAsia" w:ascii="宋体" w:hAnsi="宋体" w:eastAsia="宋体" w:cs="宋体"/>
      <w:color w:val="333333"/>
      <w:sz w:val="24"/>
      <w:szCs w:val="24"/>
      <w:u w:val="none"/>
    </w:rPr>
  </w:style>
  <w:style w:type="character" w:styleId="1020" w:customStyle="1">
    <w:name w:val="font131"/>
    <w:uiPriority w:val="0"/>
    <w:qFormat/>
    <w:rPr>
      <w:rFonts w:hint="default" w:ascii="Times New Roman" w:hAnsi="Times New Roman" w:eastAsia="宋体" w:cs="Times New Roman"/>
      <w:color w:val="333333"/>
      <w:sz w:val="20"/>
      <w:szCs w:val="20"/>
      <w:u w:val="none"/>
    </w:rPr>
  </w:style>
  <w:style w:type="character" w:styleId="1021" w:customStyle="1">
    <w:name w:val="font11"/>
    <w:uiPriority w:val="0"/>
    <w:qFormat/>
    <w:rPr>
      <w:rFonts w:hint="eastAsia" w:ascii="宋体" w:hAnsi="宋体" w:eastAsia="宋体" w:cs="宋体"/>
      <w:color w:val="000000"/>
      <w:sz w:val="24"/>
      <w:szCs w:val="24"/>
      <w:u w:val="none"/>
    </w:rPr>
  </w:style>
  <w:style w:type="character" w:styleId="1022" w:customStyle="1">
    <w:name w:val="hover1"/>
    <w:uiPriority w:val="0"/>
    <w:qFormat/>
    <w:rPr>
      <w:color w:val="2590eb"/>
    </w:rPr>
  </w:style>
  <w:style w:type="character" w:styleId="1023" w:customStyle="1">
    <w:name w:val="无间隔 字符"/>
    <w:link w:val="1024"/>
    <w:uiPriority w:val="0"/>
    <w:qFormat/>
    <w:rPr>
      <w:sz w:val="22"/>
      <w:szCs w:val="22"/>
      <w:lang w:val="en-US" w:eastAsia="en-US" w:bidi="ar-SA"/>
    </w:rPr>
  </w:style>
  <w:style w:type="paragraph" w:styleId="1024">
    <w:name w:val="No Spacing"/>
    <w:link w:val="1023"/>
    <w:uiPriority w:val="0"/>
    <w:qFormat/>
    <w:rPr>
      <w:rFonts w:ascii="Times New Roman" w:hAnsi="Times New Roman" w:eastAsia="宋体" w:cs="Times New Roman"/>
      <w:sz w:val="22"/>
      <w:szCs w:val="22"/>
      <w:lang w:val="en-US" w:eastAsia="en-US" w:bidi="ar-SA"/>
    </w:rPr>
  </w:style>
  <w:style w:type="character" w:styleId="1025" w:customStyle="1">
    <w:name w:val="hover"/>
    <w:uiPriority w:val="0"/>
    <w:qFormat/>
  </w:style>
  <w:style w:type="character" w:styleId="1026" w:customStyle="1">
    <w:name w:val="font61"/>
    <w:uiPriority w:val="0"/>
    <w:qFormat/>
    <w:rPr>
      <w:rFonts w:ascii="Batang" w:hAnsi="Batang" w:eastAsia="Batang" w:cs="Batang"/>
      <w:color w:val="000000"/>
      <w:sz w:val="21"/>
      <w:szCs w:val="21"/>
      <w:u w:val="none"/>
    </w:rPr>
  </w:style>
  <w:style w:type="character" w:styleId="1027" w:customStyle="1">
    <w:name w:val="表正文"/>
    <w:uiPriority w:val="0"/>
    <w:qFormat/>
    <w:rPr>
      <w:rFonts w:ascii="楷体_GB2312" w:hAnsi="Tahoma" w:eastAsia="宋体"/>
      <w:sz w:val="21"/>
      <w:lang w:val="en-US" w:eastAsia="zh-CN" w:bidi="ar-SA"/>
    </w:rPr>
  </w:style>
  <w:style w:type="character" w:styleId="1028"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029"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030" w:customStyle="1">
    <w:name w:val="font41"/>
    <w:uiPriority w:val="0"/>
    <w:qFormat/>
    <w:rPr>
      <w:rFonts w:hint="eastAsia" w:ascii="宋体" w:hAnsi="宋体" w:eastAsia="宋体" w:cs="宋体"/>
      <w:color w:val="000000"/>
      <w:sz w:val="18"/>
      <w:szCs w:val="18"/>
      <w:u w:val="none"/>
    </w:rPr>
  </w:style>
  <w:style w:type="paragraph" w:styleId="1031" w:customStyle="1">
    <w:name w:val="xl54"/>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2" w:customStyle="1">
    <w:name w:val="Char Char Char1 Char Char Char Char"/>
    <w:basedOn w:val="895"/>
    <w:uiPriority w:val="0"/>
    <w:qFormat/>
    <w:pPr>
      <w:jc w:val="left"/>
      <w:spacing w:after="160" w:line="240" w:lineRule="exact"/>
      <w:widowControl/>
    </w:pPr>
    <w:rPr>
      <w:rFonts w:eastAsia="宋体"/>
      <w:sz w:val="24"/>
      <w:szCs w:val="24"/>
    </w:rPr>
  </w:style>
  <w:style w:type="paragraph" w:styleId="1033" w:customStyle="1">
    <w:name w:val="纯文本4"/>
    <w:basedOn w:val="895"/>
    <w:uiPriority w:val="0"/>
    <w:qFormat/>
    <w:rPr>
      <w:rFonts w:ascii="宋体" w:hAnsi="Courier New"/>
    </w:rPr>
  </w:style>
  <w:style w:type="paragraph" w:styleId="1034" w:customStyle="1">
    <w:name w:val="Char Char1 Char Char Char Char Char Char Char Char Char Char Char Char Char Char Char Char"/>
    <w:basedOn w:val="895"/>
    <w:uiPriority w:val="0"/>
    <w:qFormat/>
    <w:pPr>
      <w:jc w:val="left"/>
      <w:spacing w:after="160" w:line="240" w:lineRule="exact"/>
      <w:widowControl/>
    </w:pPr>
    <w:rPr>
      <w:rFonts w:ascii="Verdana" w:hAnsi="Verdana" w:eastAsia="宋体"/>
      <w:sz w:val="20"/>
      <w:lang w:eastAsia="en-US"/>
    </w:rPr>
  </w:style>
  <w:style w:type="paragraph" w:styleId="1035" w:customStyle="1">
    <w:name w:val="msolistparagraph"/>
    <w:basedOn w:val="895"/>
    <w:uiPriority w:val="0"/>
    <w:qFormat/>
    <w:pPr>
      <w:ind w:firstLine="420"/>
    </w:pPr>
    <w:rPr>
      <w:szCs w:val="21"/>
    </w:rPr>
  </w:style>
  <w:style w:type="paragraph" w:styleId="1036" w:customStyle="1">
    <w:name w:val="xl66"/>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7" w:customStyle="1">
    <w:name w:val="xl65"/>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8" w:customStyle="1">
    <w:name w:val="纯文本2"/>
    <w:basedOn w:val="895"/>
    <w:uiPriority w:val="0"/>
    <w:qFormat/>
    <w:rPr>
      <w:rFonts w:ascii="宋体" w:hAnsi="Courier New"/>
      <w:sz w:val="28"/>
    </w:rPr>
  </w:style>
  <w:style w:type="paragraph" w:styleId="1039" w:customStyle="1">
    <w:name w:val="分标题"/>
    <w:basedOn w:val="895"/>
    <w:next w:val="911"/>
    <w:uiPriority w:val="0"/>
    <w:qFormat/>
    <w:pPr>
      <w:ind w:left="567" w:hanging="567"/>
      <w:spacing w:before="120" w:after="120" w:line="360" w:lineRule="exact"/>
      <w:tabs>
        <w:tab w:val="left" w:pos="567" w:leader="none"/>
      </w:tabs>
      <w:outlineLvl w:val="3"/>
    </w:pPr>
    <w:rPr>
      <w:rFonts w:ascii="宋体" w:hAnsi="宋体" w:eastAsia="宋体"/>
      <w:b/>
      <w:sz w:val="24"/>
      <w:szCs w:val="24"/>
    </w:rPr>
  </w:style>
  <w:style w:type="paragraph" w:styleId="1040" w:customStyle="1">
    <w:name w:val="xl47"/>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41" w:customStyle="1">
    <w:name w:val="纯文本21"/>
    <w:basedOn w:val="895"/>
    <w:uiPriority w:val="0"/>
    <w:qFormat/>
    <w:rPr>
      <w:rFonts w:ascii="宋体" w:hAnsi="Courier New"/>
      <w:sz w:val="28"/>
    </w:rPr>
  </w:style>
  <w:style w:type="paragraph" w:styleId="1042" w:customStyle="1">
    <w:name w:val="+正文"/>
    <w:basedOn w:val="895"/>
    <w:uiPriority w:val="0"/>
    <w:qFormat/>
    <w:pPr>
      <w:ind w:firstLine="200"/>
      <w:spacing w:line="360" w:lineRule="auto"/>
    </w:pPr>
    <w:rPr>
      <w:rFonts w:eastAsia="宋体"/>
      <w:sz w:val="24"/>
      <w:szCs w:val="28"/>
    </w:rPr>
  </w:style>
  <w:style w:type="paragraph" w:styleId="1043" w:customStyle="1">
    <w:name w:val="000左齐平"/>
    <w:basedOn w:val="895"/>
    <w:uiPriority w:val="0"/>
    <w:qFormat/>
    <w:pPr>
      <w:jc w:val="left"/>
    </w:pPr>
    <w:rPr>
      <w:color w:val="000000"/>
    </w:rPr>
  </w:style>
  <w:style w:type="paragraph" w:styleId="1044" w:customStyle="1">
    <w:name w:val="xl52"/>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5" w:customStyle="1">
    <w:name w:val="xl62"/>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46" w:customStyle="1">
    <w:name w:val="并列样式"/>
    <w:basedOn w:val="895"/>
    <w:next w:val="895"/>
    <w:uiPriority w:val="0"/>
    <w:qFormat/>
    <w:pPr>
      <w:ind w:left="839" w:hanging="419"/>
      <w:spacing w:before="120" w:after="120" w:line="360" w:lineRule="exact"/>
      <w:tabs>
        <w:tab w:val="left" w:pos="839" w:leader="none"/>
      </w:tabs>
    </w:pPr>
    <w:rPr>
      <w:rFonts w:eastAsia="宋体"/>
      <w:sz w:val="24"/>
    </w:rPr>
  </w:style>
  <w:style w:type="paragraph" w:styleId="1047" w:customStyle="1">
    <w:name w:val="xl61"/>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48"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049" w:customStyle="1">
    <w:name w:val="Char Char1 Char Char Char Char Char Char Char"/>
    <w:basedOn w:val="895"/>
    <w:uiPriority w:val="0"/>
    <w:qFormat/>
  </w:style>
  <w:style w:type="paragraph" w:styleId="1050"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051" w:customStyle="1">
    <w:name w:val="xl45"/>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2" w:customStyle="1">
    <w:name w:val="xl53"/>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3" w:customStyle="1">
    <w:name w:val="节标题"/>
    <w:basedOn w:val="895"/>
    <w:next w:val="911"/>
    <w:uiPriority w:val="0"/>
    <w:qFormat/>
    <w:pPr>
      <w:ind w:left="420" w:hanging="420"/>
      <w:spacing w:before="120" w:after="120" w:line="360" w:lineRule="exact"/>
      <w:tabs>
        <w:tab w:val="left" w:pos="420" w:leader="none"/>
      </w:tabs>
      <w:outlineLvl w:val="1"/>
    </w:pPr>
    <w:rPr>
      <w:rFonts w:eastAsia="宋体"/>
      <w:b/>
      <w:bCs/>
      <w:sz w:val="28"/>
    </w:rPr>
  </w:style>
  <w:style w:type="paragraph" w:styleId="1054" w:customStyle="1">
    <w:name w:val="Andy_正文"/>
    <w:basedOn w:val="895"/>
    <w:uiPriority w:val="0"/>
    <w:qFormat/>
    <w:pPr>
      <w:ind w:firstLine="480"/>
      <w:spacing w:line="360" w:lineRule="auto"/>
    </w:pPr>
    <w:rPr>
      <w:rFonts w:ascii="Calibri" w:hAnsi="Calibri" w:eastAsia="宋体"/>
      <w:sz w:val="24"/>
      <w:szCs w:val="24"/>
    </w:rPr>
  </w:style>
  <w:style w:type="paragraph" w:styleId="1055" w:customStyle="1">
    <w:name w:val="xl51"/>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56" w:customStyle="1">
    <w:name w:val="_Style 12"/>
    <w:basedOn w:val="913"/>
    <w:uiPriority w:val="0"/>
    <w:qFormat/>
    <w:pPr>
      <w:jc w:val="left"/>
      <w:spacing w:line="360" w:lineRule="auto"/>
      <w:widowControl/>
    </w:pPr>
  </w:style>
  <w:style w:type="paragraph" w:styleId="1057" w:customStyle="1">
    <w:name w:val="_Style 158"/>
    <w:uiPriority w:val="99"/>
    <w:unhideWhenUsed/>
    <w:qFormat/>
    <w:rPr>
      <w:rFonts w:ascii="Times New Roman" w:hAnsi="Times New Roman" w:eastAsia="楷体_GB2312" w:cs="Times New Roman"/>
      <w:sz w:val="26"/>
      <w:lang w:val="en-US" w:eastAsia="zh-CN" w:bidi="ar-SA"/>
    </w:rPr>
  </w:style>
  <w:style w:type="paragraph" w:styleId="1058" w:customStyle="1">
    <w:name w:val="Default"/>
    <w:next w:val="1059"/>
    <w:uiPriority w:val="0"/>
    <w:qFormat/>
    <w:pPr>
      <w:widowControl w:val="off"/>
    </w:pPr>
    <w:rPr>
      <w:rFonts w:ascii="宋体" w:hAnsi="Calibri" w:eastAsia="宋体" w:cs="宋体"/>
      <w:color w:val="000000"/>
      <w:sz w:val="24"/>
      <w:szCs w:val="24"/>
      <w:lang w:val="en-US" w:eastAsia="zh-CN" w:bidi="ar-SA"/>
    </w:rPr>
  </w:style>
  <w:style w:type="paragraph" w:styleId="1059" w:customStyle="1">
    <w:name w:val="列表项目符号 511"/>
    <w:basedOn w:val="928"/>
    <w:next w:val="926"/>
    <w:uiPriority w:val="0"/>
    <w:qFormat/>
    <w:pPr>
      <w:numPr>
        <w:ilvl w:val="0"/>
        <w:numId w:val="4"/>
      </w:numPr>
    </w:pPr>
  </w:style>
  <w:style w:type="paragraph" w:styleId="1060" w:customStyle="1">
    <w:name w:val="xl57"/>
    <w:basedOn w:val="89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1" w:customStyle="1">
    <w:name w:val="xl49"/>
    <w:basedOn w:val="895"/>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62" w:customStyle="1">
    <w:name w:val="Char Char Char"/>
    <w:basedOn w:val="895"/>
    <w:uiPriority w:val="0"/>
    <w:qFormat/>
    <w:rPr>
      <w:rFonts w:ascii="Tahoma" w:hAnsi="Tahoma" w:eastAsia="宋体"/>
      <w:sz w:val="24"/>
    </w:rPr>
  </w:style>
  <w:style w:type="paragraph" w:styleId="1063" w:customStyle="1">
    <w:name w:val="xl59"/>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4" w:customStyle="1">
    <w:name w:val="xl63"/>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65" w:customStyle="1">
    <w:name w:val="Char Char Char Char Char Char Char"/>
    <w:basedOn w:val="895"/>
    <w:uiPriority w:val="0"/>
    <w:qFormat/>
    <w:pPr>
      <w:ind w:left="432" w:hanging="432"/>
      <w:tabs>
        <w:tab w:val="left" w:pos="432" w:leader="none"/>
      </w:tabs>
    </w:pPr>
    <w:rPr>
      <w:rFonts w:ascii="Tahoma" w:hAnsi="Tahoma" w:eastAsia="宋体"/>
      <w:sz w:val="24"/>
    </w:rPr>
  </w:style>
  <w:style w:type="paragraph" w:styleId="1066" w:customStyle="1">
    <w:name w:val="font5"/>
    <w:basedOn w:val="895"/>
    <w:uiPriority w:val="0"/>
    <w:qFormat/>
    <w:pPr>
      <w:jc w:val="left"/>
      <w:spacing w:before="100" w:beforeAutospacing="1" w:after="100" w:afterAutospacing="1"/>
      <w:widowControl/>
    </w:pPr>
    <w:rPr>
      <w:rFonts w:hint="eastAsia" w:ascii="宋体" w:hAnsi="宋体" w:eastAsia="宋体"/>
      <w:sz w:val="18"/>
      <w:szCs w:val="18"/>
    </w:rPr>
  </w:style>
  <w:style w:type="paragraph" w:styleId="1067" w:customStyle="1">
    <w:name w:val="Char"/>
    <w:basedOn w:val="895"/>
    <w:uiPriority w:val="0"/>
    <w:qFormat/>
    <w:rPr>
      <w:rFonts w:ascii="Tahoma" w:hAnsi="Tahoma" w:eastAsia="宋体"/>
      <w:sz w:val="24"/>
    </w:rPr>
  </w:style>
  <w:style w:type="paragraph" w:styleId="1068" w:customStyle="1">
    <w:name w:val="Blockquote"/>
    <w:basedOn w:val="895"/>
    <w:uiPriority w:val="0"/>
    <w:qFormat/>
    <w:pPr>
      <w:ind w:left="360" w:right="360"/>
      <w:jc w:val="left"/>
      <w:spacing w:before="100" w:after="100"/>
    </w:pPr>
    <w:rPr>
      <w:sz w:val="24"/>
    </w:rPr>
  </w:style>
  <w:style w:type="paragraph" w:styleId="1069" w:customStyle="1">
    <w:name w:val="Char Char Char Char Char Char Char Char Char1 Char"/>
    <w:basedOn w:val="913"/>
    <w:uiPriority w:val="0"/>
    <w:qFormat/>
    <w:pPr>
      <w:spacing w:line="360" w:lineRule="auto"/>
    </w:pPr>
    <w:rPr>
      <w:rFonts w:ascii="Tahoma" w:hAnsi="Tahoma"/>
      <w:szCs w:val="24"/>
    </w:rPr>
  </w:style>
  <w:style w:type="paragraph" w:styleId="1070" w:customStyle="1">
    <w:name w:val="font6"/>
    <w:basedOn w:val="895"/>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71" w:customStyle="1">
    <w:name w:val="xl46"/>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2" w:customStyle="1">
    <w:name w:val="xl58"/>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3" w:customStyle="1">
    <w:name w:val="_Style 1"/>
    <w:basedOn w:val="895"/>
    <w:uiPriority w:val="34"/>
    <w:qFormat/>
    <w:pPr>
      <w:ind w:firstLine="420"/>
    </w:pPr>
    <w:rPr>
      <w:rFonts w:ascii="Calibri" w:hAnsi="Calibri"/>
      <w:szCs w:val="22"/>
    </w:rPr>
  </w:style>
  <w:style w:type="paragraph" w:styleId="1074" w:customStyle="1">
    <w:name w:val="xl64"/>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75" w:customStyle="1">
    <w:name w:val="列出段落11"/>
    <w:basedOn w:val="895"/>
    <w:uiPriority w:val="0"/>
    <w:qFormat/>
    <w:pPr>
      <w:ind w:firstLine="420"/>
    </w:pPr>
  </w:style>
  <w:style w:type="paragraph" w:styleId="1076" w:customStyle="1">
    <w:name w:val="xl55"/>
    <w:basedOn w:val="89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7" w:customStyle="1">
    <w:name w:val="xl56"/>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8" w:customStyle="1">
    <w:name w:val="xl60"/>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9" w:customStyle="1">
    <w:name w:val="分层标题"/>
    <w:basedOn w:val="895"/>
    <w:next w:val="911"/>
    <w:uiPriority w:val="0"/>
    <w:qFormat/>
    <w:pPr>
      <w:ind w:left="709" w:hanging="709"/>
      <w:spacing w:before="120" w:after="120" w:line="360" w:lineRule="exact"/>
      <w:tabs>
        <w:tab w:val="left" w:pos="1080" w:leader="none"/>
      </w:tabs>
      <w:outlineLvl w:val="4"/>
    </w:pPr>
    <w:rPr>
      <w:rFonts w:eastAsia="宋体"/>
      <w:b/>
      <w:sz w:val="24"/>
      <w:szCs w:val="24"/>
    </w:rPr>
  </w:style>
  <w:style w:type="paragraph" w:styleId="1080" w:customStyle="1">
    <w:name w:val="xl50"/>
    <w:basedOn w:val="89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81" w:customStyle="1">
    <w:name w:val="xl48"/>
    <w:basedOn w:val="89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82" w:customStyle="1">
    <w:name w:val="正文样式"/>
    <w:basedOn w:val="895"/>
    <w:uiPriority w:val="0"/>
    <w:qFormat/>
    <w:pPr>
      <w:ind w:firstLine="584"/>
    </w:pPr>
    <w:rPr>
      <w:rFonts w:ascii="仿宋_GB2312" w:eastAsia="仿宋_GB2312"/>
      <w:spacing w:val="-4"/>
      <w:sz w:val="30"/>
      <w:szCs w:val="30"/>
    </w:rPr>
  </w:style>
  <w:style w:type="paragraph" w:styleId="1083" w:customStyle="1">
    <w:name w:val="纯文本11"/>
    <w:basedOn w:val="895"/>
    <w:uiPriority w:val="99"/>
    <w:qFormat/>
    <w:rPr>
      <w:rFonts w:ascii="宋体" w:hAnsi="Courier New" w:eastAsia="宋体"/>
      <w:sz w:val="21"/>
      <w:szCs w:val="22"/>
    </w:rPr>
  </w:style>
  <w:style w:type="paragraph" w:styleId="1084" w:customStyle="1">
    <w:name w:val="首行缩进"/>
    <w:basedOn w:val="895"/>
    <w:uiPriority w:val="0"/>
    <w:qFormat/>
    <w:pPr>
      <w:ind w:firstLine="480"/>
    </w:pPr>
    <w:rPr>
      <w:lang w:val="zh-CN"/>
    </w:rPr>
  </w:style>
  <w:style w:type="paragraph" w:styleId="1085" w:customStyle="1">
    <w:name w:val="默认段落字体 Para Char Char Char Char Char Char Char"/>
    <w:basedOn w:val="895"/>
    <w:uiPriority w:val="0"/>
    <w:qFormat/>
    <w:pPr>
      <w:spacing w:line="360" w:lineRule="auto"/>
    </w:pPr>
    <w:rPr>
      <w:rFonts w:ascii="Tahoma" w:hAnsi="Tahoma" w:eastAsia="宋体"/>
      <w:sz w:val="24"/>
    </w:rPr>
  </w:style>
  <w:style w:type="paragraph" w:styleId="1086" w:customStyle="1">
    <w:name w:val="批注框文本1"/>
    <w:basedOn w:val="895"/>
    <w:uiPriority w:val="0"/>
    <w:semiHidden/>
    <w:qFormat/>
    <w:rPr>
      <w:sz w:val="18"/>
      <w:szCs w:val="18"/>
    </w:rPr>
  </w:style>
  <w:style w:type="paragraph" w:styleId="1087" w:customStyle="1">
    <w:name w:val="p0"/>
    <w:basedOn w:val="895"/>
    <w:uiPriority w:val="0"/>
    <w:qFormat/>
    <w:rPr>
      <w:rFonts w:hint="eastAsia"/>
    </w:rPr>
  </w:style>
  <w:style w:type="paragraph" w:styleId="1088" w:customStyle="1">
    <w:name w:val="小四 段落 宋体 Char"/>
    <w:basedOn w:val="910"/>
    <w:uiPriority w:val="0"/>
    <w:qFormat/>
    <w:pPr>
      <w:ind w:left="0" w:right="-33" w:firstLine="480"/>
      <w:jc w:val="left"/>
      <w:spacing w:line="360" w:lineRule="auto"/>
      <w:tabs>
        <w:tab w:val="clear" w:pos="1125" w:leader="none"/>
      </w:tabs>
    </w:pPr>
    <w:rPr>
      <w:sz w:val="24"/>
    </w:rPr>
  </w:style>
  <w:style w:type="character" w:styleId="1089" w:customStyle="1">
    <w:name w:val="NormalCharacter"/>
    <w:uiPriority w:val="0"/>
    <w:semiHidden/>
    <w:qFormat/>
  </w:style>
  <w:style w:type="paragraph" w:styleId="1090" w:customStyle="1">
    <w:name w:val="纯文本3"/>
    <w:basedOn w:val="895"/>
    <w:uiPriority w:val="0"/>
    <w:qFormat/>
    <w:rPr>
      <w:rFonts w:ascii="宋体" w:hAnsi="Courier New"/>
      <w:sz w:val="21"/>
    </w:rPr>
  </w:style>
  <w:style w:type="paragraph" w:styleId="1091" w:customStyle="1">
    <w:name w:val="列出段落2"/>
    <w:basedOn w:val="895"/>
    <w:uiPriority w:val="34"/>
    <w:qFormat/>
    <w:pPr>
      <w:ind w:firstLine="420"/>
    </w:pPr>
    <w:rPr>
      <w:rFonts w:ascii="宋体" w:hAnsi="宋体"/>
      <w:sz w:val="24"/>
      <w:szCs w:val="24"/>
    </w:rPr>
  </w:style>
  <w:style w:type="paragraph" w:styleId="1092" w:customStyle="1">
    <w:name w:val="Normal_0"/>
    <w:next w:val="1093"/>
    <w:uiPriority w:val="0"/>
    <w:qFormat/>
    <w:pPr>
      <w:jc w:val="both"/>
      <w:widowControl w:val="off"/>
    </w:pPr>
    <w:rPr>
      <w:rFonts w:ascii="Times New Roman" w:hAnsi="Times New Roman" w:eastAsia="Times New Roman" w:cs="Times New Roman"/>
      <w:sz w:val="21"/>
      <w:szCs w:val="24"/>
      <w:lang w:val="en-US" w:eastAsia="zh-CN" w:bidi="ar-SA"/>
    </w:rPr>
  </w:style>
  <w:style w:type="paragraph" w:styleId="1093" w:customStyle="1">
    <w:name w:val="首行缩进_0"/>
    <w:basedOn w:val="1092"/>
    <w:uiPriority w:val="0"/>
    <w:qFormat/>
    <w:pPr>
      <w:ind w:firstLine="480"/>
      <w:jc w:val="left"/>
      <w:spacing w:line="360" w:lineRule="auto"/>
    </w:pPr>
    <w:rPr>
      <w:rFonts w:ascii="宋体" w:hAnsi="宋体"/>
      <w:sz w:val="24"/>
    </w:rPr>
  </w:style>
  <w:style w:type="paragraph" w:styleId="1094" w:customStyle="1">
    <w:name w:val="标题 21"/>
    <w:basedOn w:val="895"/>
    <w:next w:val="895"/>
    <w:uiPriority w:val="0"/>
    <w:qFormat/>
    <w:pPr>
      <w:keepLines/>
      <w:keepNext/>
      <w:spacing w:before="260" w:after="260" w:line="413" w:lineRule="auto"/>
      <w:outlineLvl w:val="1"/>
    </w:pPr>
    <w:rPr>
      <w:rFonts w:ascii="Arial" w:hAnsi="Arial" w:eastAsia="黑体"/>
      <w:b/>
      <w:sz w:val="32"/>
    </w:rPr>
  </w:style>
  <w:style w:type="paragraph" w:styleId="1095" w:customStyle="1">
    <w:name w:val="正文缩进11"/>
    <w:basedOn w:val="895"/>
    <w:next w:val="895"/>
    <w:uiPriority w:val="0"/>
    <w:qFormat/>
    <w:pPr>
      <w:ind w:firstLine="420"/>
      <w:jc w:val="left"/>
    </w:pPr>
    <w:rPr>
      <w:sz w:val="24"/>
    </w:rPr>
  </w:style>
  <w:style w:type="character" w:styleId="1096" w:customStyle="1">
    <w:name w:val="NormalCharacter1"/>
    <w:uiPriority w:val="0"/>
    <w:semiHidden/>
    <w:qFormat/>
    <w:rPr>
      <w:rFonts w:ascii="Times New Roman" w:hAnsi="Times New Roman" w:eastAsia="楷体_GB2312" w:cs="Times New Roman"/>
      <w:sz w:val="26"/>
      <w:lang w:val="en-US" w:eastAsia="zh-CN" w:bidi="ar-SA"/>
    </w:rPr>
  </w:style>
  <w:style w:type="paragraph" w:styleId="1097" w:customStyle="1">
    <w:name w:val="修订1"/>
    <w:hidden/>
    <w:uiPriority w:val="99"/>
    <w:semiHidden/>
    <w:qFormat/>
    <w:rPr>
      <w:rFonts w:ascii="Times New Roman" w:hAnsi="Times New Roman" w:eastAsia="楷体_GB2312" w:cs="Times New Roman"/>
      <w:sz w:val="26"/>
      <w:lang w:val="en-US" w:eastAsia="zh-CN" w:bidi="ar-SA"/>
    </w:rPr>
  </w:style>
  <w:style w:type="paragraph" w:styleId="1098" w:customStyle="1">
    <w:name w:val="正文文本缩进12"/>
    <w:basedOn w:val="895"/>
    <w:uiPriority w:val="0"/>
    <w:qFormat/>
    <w:pPr>
      <w:ind w:firstLine="560"/>
      <w:jc w:val="left"/>
      <w:spacing w:line="300" w:lineRule="auto"/>
    </w:pPr>
    <w:rPr>
      <w:rFonts w:eastAsia="Times New Roman"/>
      <w:sz w:val="28"/>
      <w:szCs w:val="24"/>
    </w:rPr>
  </w:style>
  <w:style w:type="numbering" w:styleId="10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沈鹰</cp:lastModifiedBy>
  <cp:revision>5</cp:revision>
  <dcterms:created xsi:type="dcterms:W3CDTF">2025-10-15T07:33:00Z</dcterms:created>
  <dcterms:modified xsi:type="dcterms:W3CDTF">2025-12-03T01:26:48Z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17FBDD7FCD984314A8A044CB3D32E98D_13</vt:lpwstr>
  </property>
  <property fmtid="{D5CDD505-2E9C-101B-9397-08002B2CF9AE}" pid="4" name="KSOTemplateDocerSaveRecord">
    <vt:lpwstr>eyJoZGlkIjoiZTg1ZjBiYjczODk3ZDAxZTcxNzhmZTc1ZjVmOWU3NDAiLCJ1c2VySWQiOiI0MTgxMDg2MzUifQ==</vt:lpwstr>
  </property>
</Properties>
</file>